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2637" w:rsidRDefault="00E25219" w:rsidP="007F2637">
      <w:pPr>
        <w:tabs>
          <w:tab w:val="left" w:pos="5180"/>
        </w:tabs>
        <w:spacing w:line="360" w:lineRule="auto"/>
        <w:rPr>
          <w:rFonts w:ascii="Arial" w:eastAsia="Times New Roman" w:hAnsi="Arial" w:cs="Arial"/>
          <w:color w:val="000000"/>
          <w:sz w:val="24"/>
          <w:szCs w:val="24"/>
          <w:lang w:bidi="en-US"/>
        </w:rPr>
      </w:pPr>
      <w:r w:rsidRPr="00FD48F7">
        <w:rPr>
          <w:rFonts w:eastAsia="Calibri"/>
          <w:noProof/>
          <w:lang w:eastAsia="es-MX"/>
        </w:rPr>
        <w:drawing>
          <wp:anchor distT="0" distB="0" distL="114300" distR="114300" simplePos="0" relativeHeight="251660800" behindDoc="1" locked="0" layoutInCell="1" allowOverlap="1" wp14:anchorId="769DF9B8" wp14:editId="258208F2">
            <wp:simplePos x="0" y="0"/>
            <wp:positionH relativeFrom="page">
              <wp:posOffset>-628650</wp:posOffset>
            </wp:positionH>
            <wp:positionV relativeFrom="paragraph">
              <wp:posOffset>4445</wp:posOffset>
            </wp:positionV>
            <wp:extent cx="7052188" cy="3457575"/>
            <wp:effectExtent l="0" t="0" r="0" b="0"/>
            <wp:wrapNone/>
            <wp:docPr id="2" name="Imagen 2" descr="d:\Users\ad009757\Desktop\hoja_membretada\1_Hojamembretada_header_Lasalle_2014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ad009757\Desktop\hoja_membretada\1_Hojamembretada_header_Lasalle_2014 cop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52188" cy="34575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777D6" w:rsidRDefault="00D777D6" w:rsidP="007F2637">
      <w:pPr>
        <w:spacing w:line="360" w:lineRule="auto"/>
        <w:jc w:val="center"/>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color w:val="000000"/>
          <w:sz w:val="24"/>
          <w:szCs w:val="24"/>
          <w:lang w:bidi="en-US"/>
        </w:rPr>
      </w:pPr>
    </w:p>
    <w:p w:rsidR="007F2637" w:rsidRPr="00ED0600" w:rsidRDefault="007F2637" w:rsidP="007F2637">
      <w:pPr>
        <w:spacing w:line="360" w:lineRule="auto"/>
        <w:jc w:val="center"/>
        <w:rPr>
          <w:rFonts w:ascii="Arial" w:eastAsia="Times New Roman" w:hAnsi="Arial" w:cs="Arial"/>
          <w:color w:val="000000"/>
          <w:sz w:val="24"/>
          <w:szCs w:val="24"/>
          <w:lang w:bidi="en-US"/>
        </w:rPr>
      </w:pPr>
    </w:p>
    <w:p w:rsidR="007F2637" w:rsidRDefault="007F2637" w:rsidP="007F2637">
      <w:pPr>
        <w:spacing w:line="360" w:lineRule="auto"/>
        <w:jc w:val="center"/>
        <w:rPr>
          <w:rFonts w:ascii="Arial" w:eastAsia="Times New Roman" w:hAnsi="Arial" w:cs="Arial"/>
          <w:b/>
          <w:color w:val="000000"/>
          <w:sz w:val="40"/>
          <w:szCs w:val="52"/>
          <w:lang w:bidi="en-US"/>
        </w:rPr>
      </w:pPr>
    </w:p>
    <w:p w:rsidR="007F2637" w:rsidRDefault="00D777D6" w:rsidP="00D777D6">
      <w:pPr>
        <w:tabs>
          <w:tab w:val="left" w:pos="6945"/>
        </w:tabs>
        <w:spacing w:line="360" w:lineRule="auto"/>
        <w:rPr>
          <w:rFonts w:ascii="Arial" w:eastAsia="Times New Roman" w:hAnsi="Arial" w:cs="Arial"/>
          <w:b/>
          <w:color w:val="000000"/>
          <w:sz w:val="40"/>
          <w:szCs w:val="52"/>
          <w:lang w:bidi="en-US"/>
        </w:rPr>
      </w:pPr>
      <w:r>
        <w:rPr>
          <w:rFonts w:ascii="Arial" w:eastAsia="Times New Roman" w:hAnsi="Arial" w:cs="Arial"/>
          <w:b/>
          <w:color w:val="000000"/>
          <w:sz w:val="40"/>
          <w:szCs w:val="52"/>
          <w:lang w:bidi="en-US"/>
        </w:rPr>
        <w:tab/>
      </w:r>
    </w:p>
    <w:p w:rsidR="007F2637" w:rsidRDefault="007F2637" w:rsidP="007F2637">
      <w:pPr>
        <w:spacing w:line="360" w:lineRule="auto"/>
        <w:jc w:val="center"/>
        <w:rPr>
          <w:rFonts w:ascii="Arial" w:eastAsia="Times New Roman" w:hAnsi="Arial" w:cs="Arial"/>
          <w:b/>
          <w:color w:val="000000"/>
          <w:sz w:val="40"/>
          <w:szCs w:val="52"/>
          <w:lang w:bidi="en-US"/>
        </w:rPr>
      </w:pPr>
    </w:p>
    <w:p w:rsidR="007F2637" w:rsidRPr="00D777D6" w:rsidRDefault="007F2637" w:rsidP="007F2637">
      <w:pPr>
        <w:spacing w:line="360" w:lineRule="auto"/>
        <w:jc w:val="center"/>
        <w:rPr>
          <w:rFonts w:ascii="Arial" w:eastAsia="Times New Roman" w:hAnsi="Arial" w:cs="Arial"/>
          <w:b/>
          <w:color w:val="000000"/>
          <w:sz w:val="36"/>
          <w:szCs w:val="36"/>
          <w:lang w:bidi="en-US"/>
        </w:rPr>
      </w:pPr>
      <w:r w:rsidRPr="00D777D6">
        <w:rPr>
          <w:rFonts w:ascii="Arial" w:eastAsia="Times New Roman" w:hAnsi="Arial" w:cs="Arial"/>
          <w:b/>
          <w:color w:val="000000"/>
          <w:sz w:val="36"/>
          <w:szCs w:val="36"/>
          <w:lang w:bidi="en-US"/>
        </w:rPr>
        <w:t xml:space="preserve">ESPECIALIDAD EN </w:t>
      </w:r>
      <w:r w:rsidR="00E00E4F" w:rsidRPr="00D777D6">
        <w:rPr>
          <w:rFonts w:ascii="Arial" w:eastAsia="Times New Roman" w:hAnsi="Arial" w:cs="Arial"/>
          <w:b/>
          <w:color w:val="000000"/>
          <w:sz w:val="36"/>
          <w:szCs w:val="36"/>
          <w:lang w:bidi="en-US"/>
        </w:rPr>
        <w:t>MEDICINA DEL ENFERMO ADULTO EN ESTADO CRÍTICO</w:t>
      </w:r>
    </w:p>
    <w:p w:rsidR="007F2637" w:rsidRPr="00D1270A" w:rsidRDefault="007F2637" w:rsidP="007F2637">
      <w:pPr>
        <w:spacing w:line="360" w:lineRule="auto"/>
        <w:jc w:val="center"/>
        <w:rPr>
          <w:rFonts w:ascii="Arial" w:eastAsia="Times New Roman" w:hAnsi="Arial" w:cs="Arial"/>
          <w:b/>
          <w:color w:val="000000"/>
          <w:sz w:val="32"/>
          <w:szCs w:val="32"/>
          <w:lang w:bidi="en-US"/>
        </w:rPr>
      </w:pPr>
    </w:p>
    <w:p w:rsidR="007F2637" w:rsidRPr="00D1270A" w:rsidRDefault="00A12837" w:rsidP="007F2637">
      <w:pPr>
        <w:spacing w:line="360" w:lineRule="auto"/>
        <w:jc w:val="center"/>
        <w:rPr>
          <w:rFonts w:ascii="Arial" w:eastAsia="Times New Roman" w:hAnsi="Arial" w:cs="Arial"/>
          <w:b/>
          <w:color w:val="000000"/>
          <w:sz w:val="32"/>
          <w:szCs w:val="32"/>
          <w:lang w:bidi="en-US"/>
        </w:rPr>
      </w:pPr>
      <w:r>
        <w:rPr>
          <w:rFonts w:ascii="Arial" w:eastAsia="Times New Roman" w:hAnsi="Arial" w:cs="Arial"/>
          <w:b/>
          <w:color w:val="000000"/>
          <w:sz w:val="32"/>
          <w:szCs w:val="32"/>
          <w:lang w:bidi="en-US"/>
        </w:rPr>
        <w:t>DESCRIPCIÓN DEL CAMPO DISCIPLINAR</w:t>
      </w: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7F2637" w:rsidRPr="00ED0600" w:rsidRDefault="007F2637" w:rsidP="007F2637">
      <w:pPr>
        <w:jc w:val="center"/>
        <w:rPr>
          <w:rFonts w:ascii="Arial" w:eastAsia="Times New Roman" w:hAnsi="Arial" w:cs="Arial"/>
          <w:b/>
          <w:color w:val="000000"/>
          <w:sz w:val="28"/>
          <w:szCs w:val="28"/>
          <w:lang w:bidi="en-US"/>
        </w:rPr>
      </w:pPr>
    </w:p>
    <w:p w:rsidR="00D1270A" w:rsidRDefault="00D1270A" w:rsidP="007F2637">
      <w:pPr>
        <w:jc w:val="right"/>
        <w:rPr>
          <w:rFonts w:ascii="Arial" w:eastAsia="Times New Roman" w:hAnsi="Arial" w:cs="Arial"/>
          <w:b/>
          <w:color w:val="000000"/>
          <w:sz w:val="28"/>
          <w:szCs w:val="28"/>
          <w:lang w:bidi="en-US"/>
        </w:rPr>
      </w:pPr>
    </w:p>
    <w:p w:rsidR="007F2637" w:rsidRPr="00ED0600" w:rsidRDefault="00D1270A" w:rsidP="007F2637">
      <w:pPr>
        <w:jc w:val="right"/>
        <w:rPr>
          <w:rFonts w:ascii="Arial" w:eastAsia="Times New Roman" w:hAnsi="Arial" w:cs="Arial"/>
          <w:b/>
          <w:color w:val="000000"/>
          <w:sz w:val="28"/>
          <w:szCs w:val="28"/>
          <w:lang w:bidi="en-US"/>
        </w:rPr>
      </w:pPr>
      <w:r>
        <w:rPr>
          <w:rFonts w:ascii="Arial" w:eastAsia="Times New Roman" w:hAnsi="Arial" w:cs="Arial"/>
          <w:b/>
          <w:color w:val="000000"/>
          <w:sz w:val="28"/>
          <w:szCs w:val="28"/>
          <w:lang w:bidi="en-US"/>
        </w:rPr>
        <w:t>Ju</w:t>
      </w:r>
      <w:r w:rsidR="00A12837">
        <w:rPr>
          <w:rFonts w:ascii="Arial" w:eastAsia="Times New Roman" w:hAnsi="Arial" w:cs="Arial"/>
          <w:b/>
          <w:color w:val="000000"/>
          <w:sz w:val="28"/>
          <w:szCs w:val="28"/>
          <w:lang w:bidi="en-US"/>
        </w:rPr>
        <w:t>l</w:t>
      </w:r>
      <w:r>
        <w:rPr>
          <w:rFonts w:ascii="Arial" w:eastAsia="Times New Roman" w:hAnsi="Arial" w:cs="Arial"/>
          <w:b/>
          <w:color w:val="000000"/>
          <w:sz w:val="28"/>
          <w:szCs w:val="28"/>
          <w:lang w:bidi="en-US"/>
        </w:rPr>
        <w:t>io</w:t>
      </w:r>
      <w:r w:rsidR="007F2637" w:rsidRPr="00ED0600">
        <w:rPr>
          <w:rFonts w:ascii="Arial" w:eastAsia="Times New Roman" w:hAnsi="Arial" w:cs="Arial"/>
          <w:b/>
          <w:color w:val="000000"/>
          <w:sz w:val="28"/>
          <w:szCs w:val="28"/>
          <w:lang w:bidi="en-US"/>
        </w:rPr>
        <w:t xml:space="preserve"> 201</w:t>
      </w:r>
      <w:r w:rsidR="007F2637">
        <w:rPr>
          <w:rFonts w:ascii="Arial" w:eastAsia="Times New Roman" w:hAnsi="Arial" w:cs="Arial"/>
          <w:b/>
          <w:color w:val="000000"/>
          <w:sz w:val="28"/>
          <w:szCs w:val="28"/>
          <w:lang w:bidi="en-US"/>
        </w:rPr>
        <w:t>9</w:t>
      </w:r>
    </w:p>
    <w:p w:rsidR="002B17C0" w:rsidRPr="009D1687" w:rsidRDefault="002B17C0" w:rsidP="002B17C0">
      <w:pPr>
        <w:spacing w:after="0" w:line="360" w:lineRule="auto"/>
        <w:rPr>
          <w:rFonts w:ascii="Arial" w:hAnsi="Arial" w:cs="Arial"/>
          <w:b/>
        </w:rPr>
      </w:pPr>
      <w:r w:rsidRPr="009D1687">
        <w:rPr>
          <w:rFonts w:ascii="Arial" w:hAnsi="Arial" w:cs="Arial"/>
          <w:b/>
        </w:rPr>
        <w:lastRenderedPageBreak/>
        <w:t>INTRODUCCIÓN</w:t>
      </w:r>
    </w:p>
    <w:p w:rsidR="002B17C0" w:rsidRDefault="002B17C0" w:rsidP="002B17C0">
      <w:pPr>
        <w:spacing w:after="0" w:line="360" w:lineRule="auto"/>
        <w:jc w:val="both"/>
        <w:rPr>
          <w:rFonts w:ascii="Arial" w:hAnsi="Arial" w:cs="Arial"/>
        </w:rPr>
      </w:pPr>
    </w:p>
    <w:p w:rsidR="002B17C0" w:rsidRDefault="002B17C0" w:rsidP="002B17C0">
      <w:pPr>
        <w:spacing w:after="0"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2B17C0" w:rsidRDefault="002B17C0" w:rsidP="002B17C0">
      <w:pPr>
        <w:spacing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2B17C0" w:rsidRDefault="002B17C0" w:rsidP="002B17C0">
      <w:pPr>
        <w:spacing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2B17C0" w:rsidRDefault="002B17C0" w:rsidP="002B17C0">
      <w:pPr>
        <w:spacing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161A74" w:rsidRDefault="00161A74" w:rsidP="007F2637">
      <w:pPr>
        <w:spacing w:after="0" w:line="360" w:lineRule="auto"/>
        <w:rPr>
          <w:rFonts w:ascii="Arial" w:hAnsi="Arial" w:cs="Arial"/>
          <w:b/>
        </w:rPr>
      </w:pPr>
    </w:p>
    <w:p w:rsidR="00E27CDD" w:rsidRDefault="00E27CDD" w:rsidP="002B17C0">
      <w:pPr>
        <w:spacing w:after="0" w:line="360" w:lineRule="auto"/>
        <w:rPr>
          <w:rFonts w:ascii="Arial" w:hAnsi="Arial" w:cs="Arial"/>
          <w:b/>
        </w:rPr>
      </w:pPr>
      <w:r>
        <w:rPr>
          <w:rFonts w:ascii="Arial" w:hAnsi="Arial" w:cs="Arial"/>
          <w:b/>
        </w:rPr>
        <w:t>I. FACULTAD MEXICANA DE MEDICINA</w:t>
      </w:r>
      <w:r w:rsidRPr="009D54C0">
        <w:rPr>
          <w:rFonts w:ascii="Arial" w:hAnsi="Arial" w:cs="Arial"/>
          <w:b/>
        </w:rPr>
        <w:t>, UNIVERSIDAD LA SALLE</w:t>
      </w:r>
    </w:p>
    <w:p w:rsidR="002B17C0" w:rsidRPr="009D54C0" w:rsidRDefault="002B17C0" w:rsidP="002B17C0">
      <w:pPr>
        <w:spacing w:after="0" w:line="360" w:lineRule="auto"/>
        <w:rPr>
          <w:rFonts w:ascii="Arial" w:hAnsi="Arial" w:cs="Arial"/>
          <w:b/>
        </w:rPr>
      </w:pPr>
    </w:p>
    <w:p w:rsidR="007A33D0" w:rsidRPr="002D0E04" w:rsidRDefault="007A33D0" w:rsidP="002B17C0">
      <w:pPr>
        <w:tabs>
          <w:tab w:val="left" w:pos="1695"/>
        </w:tabs>
        <w:spacing w:after="0" w:line="360" w:lineRule="auto"/>
        <w:jc w:val="both"/>
        <w:rPr>
          <w:rFonts w:ascii="Arial" w:hAnsi="Arial" w:cs="Arial"/>
          <w:b/>
        </w:rPr>
      </w:pPr>
      <w:r w:rsidRPr="002D0E04">
        <w:rPr>
          <w:rFonts w:ascii="Arial" w:hAnsi="Arial" w:cs="Arial"/>
          <w:b/>
        </w:rPr>
        <w:t>1.1. Enfoque pedagógico</w:t>
      </w:r>
    </w:p>
    <w:p w:rsidR="007A33D0" w:rsidRPr="00FD48F7" w:rsidRDefault="007A33D0" w:rsidP="007A33D0">
      <w:pPr>
        <w:tabs>
          <w:tab w:val="left" w:pos="1695"/>
        </w:tabs>
        <w:spacing w:after="0"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7A33D0" w:rsidRPr="00E4327A" w:rsidRDefault="007A33D0" w:rsidP="007A33D0">
      <w:pPr>
        <w:tabs>
          <w:tab w:val="left" w:pos="1695"/>
        </w:tabs>
        <w:spacing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7A33D0" w:rsidRPr="00E4327A" w:rsidRDefault="007A33D0" w:rsidP="007A33D0">
      <w:pPr>
        <w:spacing w:after="0" w:line="360" w:lineRule="auto"/>
        <w:jc w:val="both"/>
        <w:rPr>
          <w:rFonts w:ascii="Arial" w:hAnsi="Arial" w:cs="Arial"/>
        </w:rPr>
      </w:pPr>
      <w:r w:rsidRPr="00E4327A">
        <w:rPr>
          <w:rFonts w:ascii="Arial" w:hAnsi="Arial" w:cs="Arial"/>
        </w:rPr>
        <w:t xml:space="preserve">Respecto al enfoque pedagógico, este se entiende desde el paradigma </w:t>
      </w:r>
      <w:r w:rsidR="00422DE7" w:rsidRPr="00E4327A">
        <w:rPr>
          <w:rFonts w:ascii="Arial" w:hAnsi="Arial" w:cs="Arial"/>
        </w:rPr>
        <w:t>socio cognitivo</w:t>
      </w:r>
      <w:r w:rsidRPr="00E4327A">
        <w:rPr>
          <w:rFonts w:ascii="Arial" w:hAnsi="Arial" w:cs="Arial"/>
        </w:rPr>
        <w:t xml:space="preserve">,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7A33D0" w:rsidRPr="00FD48F7" w:rsidRDefault="007A33D0" w:rsidP="007A33D0">
      <w:pPr>
        <w:tabs>
          <w:tab w:val="left" w:pos="1695"/>
        </w:tabs>
        <w:spacing w:after="0" w:line="360" w:lineRule="auto"/>
        <w:jc w:val="both"/>
        <w:rPr>
          <w:rFonts w:ascii="Arial" w:hAnsi="Arial" w:cs="Arial"/>
        </w:rPr>
      </w:pPr>
      <w:r w:rsidRPr="00E4327A">
        <w:rPr>
          <w:rFonts w:ascii="Arial" w:hAnsi="Arial" w:cs="Arial"/>
        </w:rPr>
        <w:lastRenderedPageBreak/>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7A33D0" w:rsidRPr="00FD48F7" w:rsidRDefault="007A33D0" w:rsidP="007A33D0">
      <w:pPr>
        <w:tabs>
          <w:tab w:val="left" w:pos="1695"/>
        </w:tabs>
        <w:spacing w:after="0" w:line="360" w:lineRule="auto"/>
        <w:jc w:val="both"/>
        <w:rPr>
          <w:rFonts w:ascii="Arial" w:hAnsi="Arial" w:cs="Arial"/>
        </w:rPr>
      </w:pPr>
    </w:p>
    <w:p w:rsidR="007A33D0" w:rsidRPr="00FD48F7" w:rsidRDefault="007A33D0" w:rsidP="007A33D0">
      <w:pPr>
        <w:tabs>
          <w:tab w:val="left" w:pos="1695"/>
        </w:tabs>
        <w:spacing w:after="0"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7A33D0" w:rsidRPr="00FD48F7" w:rsidRDefault="007A33D0" w:rsidP="007A33D0">
      <w:pPr>
        <w:tabs>
          <w:tab w:val="left" w:pos="1695"/>
        </w:tabs>
        <w:spacing w:after="0" w:line="360" w:lineRule="auto"/>
        <w:jc w:val="both"/>
        <w:rPr>
          <w:rFonts w:ascii="Arial" w:hAnsi="Arial" w:cs="Arial"/>
          <w:color w:val="000000"/>
        </w:rPr>
      </w:pPr>
    </w:p>
    <w:p w:rsidR="007A33D0" w:rsidRPr="00FD48F7" w:rsidRDefault="007A33D0" w:rsidP="007A33D0">
      <w:pPr>
        <w:tabs>
          <w:tab w:val="left" w:pos="1695"/>
        </w:tabs>
        <w:spacing w:after="0" w:line="360" w:lineRule="auto"/>
        <w:jc w:val="both"/>
        <w:rPr>
          <w:rFonts w:ascii="Arial" w:hAnsi="Arial" w:cs="Arial"/>
        </w:rPr>
      </w:pPr>
      <w:r w:rsidRPr="00FD48F7">
        <w:rPr>
          <w:rFonts w:ascii="Arial" w:hAnsi="Arial" w:cs="Arial"/>
        </w:rPr>
        <w:t>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profesional y acciones solidarias para contribuir a la mejora en las condiciones de vida de grupos y personas menos favorecidas por las condiciones socioeconómicas.</w:t>
      </w:r>
    </w:p>
    <w:p w:rsidR="007A33D0" w:rsidRPr="00FD48F7" w:rsidRDefault="007A33D0" w:rsidP="007A33D0">
      <w:pPr>
        <w:tabs>
          <w:tab w:val="left" w:pos="1695"/>
        </w:tabs>
        <w:spacing w:after="0"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7A33D0" w:rsidRPr="00FD48F7" w:rsidRDefault="007A33D0" w:rsidP="007A33D0">
      <w:pPr>
        <w:tabs>
          <w:tab w:val="left" w:pos="1695"/>
        </w:tabs>
        <w:spacing w:after="0"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xml:space="preserve">, además, el desarrollo de múltiples estrategias que fomentan el desempeño académico y, posteriormente, el profesional signado por la </w:t>
      </w:r>
      <w:r w:rsidR="00422DE7" w:rsidRPr="00FD48F7">
        <w:rPr>
          <w:rFonts w:ascii="Arial" w:hAnsi="Arial" w:cs="Arial"/>
        </w:rPr>
        <w:t>meta cognición</w:t>
      </w:r>
      <w:r w:rsidRPr="00FD48F7">
        <w:rPr>
          <w:rFonts w:ascii="Arial" w:hAnsi="Arial" w:cs="Arial"/>
        </w:rPr>
        <w:t xml:space="preserve"> y la autorregulación.</w:t>
      </w:r>
    </w:p>
    <w:p w:rsidR="007A33D0" w:rsidRPr="00FD48F7" w:rsidRDefault="007A33D0" w:rsidP="007A33D0">
      <w:pPr>
        <w:tabs>
          <w:tab w:val="left" w:pos="1695"/>
        </w:tabs>
        <w:spacing w:after="0"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w:t>
      </w:r>
      <w:r w:rsidRPr="00FD48F7">
        <w:rPr>
          <w:rFonts w:ascii="Arial" w:hAnsi="Arial" w:cs="Arial"/>
        </w:rPr>
        <w:lastRenderedPageBreak/>
        <w:t>asociadas con el perfil académico profesional y con el ejercicio del campo laboral, tanto del pregrado como del posgrado, específicamente para las especialidades médicas.</w:t>
      </w:r>
    </w:p>
    <w:p w:rsidR="007A33D0" w:rsidRDefault="007A33D0" w:rsidP="007A33D0">
      <w:pPr>
        <w:tabs>
          <w:tab w:val="left" w:pos="1695"/>
        </w:tabs>
        <w:spacing w:after="0"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w:t>
      </w:r>
      <w:r w:rsidRPr="00BD052E">
        <w:rPr>
          <w:rFonts w:ascii="Arial" w:hAnsi="Arial" w:cs="Arial"/>
          <w:color w:val="000000"/>
        </w:rPr>
        <w:lastRenderedPageBreak/>
        <w:t xml:space="preserve">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asimilación y circulación de los conocimientos científicos, tecnológicos y humanísticos dentro de su recinto y fuera de él para beneficio de la sociedad.</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xml:space="preserve"> 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7A33D0" w:rsidRPr="00D12EE8" w:rsidRDefault="007A33D0" w:rsidP="007A33D0">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Intercambio académico.</w:t>
      </w:r>
    </w:p>
    <w:p w:rsidR="007A33D0" w:rsidRPr="00D12EE8" w:rsidRDefault="007A33D0" w:rsidP="007A33D0">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Servicio social profesional.</w:t>
      </w:r>
    </w:p>
    <w:p w:rsidR="007A33D0" w:rsidRPr="00D12EE8" w:rsidRDefault="007A33D0" w:rsidP="007A33D0">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Pastoral universitaria.</w:t>
      </w:r>
    </w:p>
    <w:p w:rsidR="007A33D0" w:rsidRPr="00D12EE8" w:rsidRDefault="007A33D0" w:rsidP="007A33D0">
      <w:pPr>
        <w:pStyle w:val="Prrafodelista"/>
        <w:numPr>
          <w:ilvl w:val="0"/>
          <w:numId w:val="6"/>
        </w:numPr>
        <w:tabs>
          <w:tab w:val="left" w:pos="1695"/>
        </w:tabs>
        <w:spacing w:after="0" w:line="360" w:lineRule="auto"/>
        <w:jc w:val="both"/>
        <w:rPr>
          <w:rFonts w:ascii="Arial" w:hAnsi="Arial" w:cs="Arial"/>
          <w:color w:val="000000"/>
        </w:rPr>
      </w:pPr>
      <w:r w:rsidRPr="00D12EE8">
        <w:rPr>
          <w:rFonts w:ascii="Arial" w:hAnsi="Arial" w:cs="Arial"/>
          <w:color w:val="000000"/>
        </w:rPr>
        <w:t>Convenios y acuerdos de colaboración.</w:t>
      </w:r>
    </w:p>
    <w:p w:rsidR="007A33D0" w:rsidRPr="00BB522B" w:rsidRDefault="007A33D0" w:rsidP="007A33D0">
      <w:pPr>
        <w:pStyle w:val="Prrafodelista"/>
        <w:numPr>
          <w:ilvl w:val="0"/>
          <w:numId w:val="6"/>
        </w:numPr>
        <w:tabs>
          <w:tab w:val="left" w:pos="1695"/>
        </w:tabs>
        <w:spacing w:after="0" w:line="360" w:lineRule="auto"/>
        <w:jc w:val="both"/>
        <w:rPr>
          <w:rFonts w:ascii="Arial" w:hAnsi="Arial" w:cs="Arial"/>
          <w:color w:val="000000"/>
        </w:rPr>
      </w:pPr>
      <w:r w:rsidRPr="00BB522B">
        <w:rPr>
          <w:rFonts w:ascii="Arial" w:hAnsi="Arial" w:cs="Arial"/>
          <w:color w:val="000000"/>
        </w:rPr>
        <w:t>Voluntariado.</w:t>
      </w:r>
    </w:p>
    <w:p w:rsidR="007A33D0" w:rsidRPr="00BD052E" w:rsidRDefault="007A33D0" w:rsidP="007A33D0">
      <w:pPr>
        <w:tabs>
          <w:tab w:val="left" w:pos="1695"/>
        </w:tabs>
        <w:spacing w:after="0" w:line="360" w:lineRule="auto"/>
        <w:jc w:val="both"/>
        <w:rPr>
          <w:rFonts w:ascii="Arial" w:hAnsi="Arial" w:cs="Arial"/>
          <w:color w:val="000000"/>
        </w:rPr>
      </w:pPr>
    </w:p>
    <w:p w:rsidR="007A33D0" w:rsidRPr="00BD052E" w:rsidRDefault="007A33D0" w:rsidP="007A33D0">
      <w:pPr>
        <w:tabs>
          <w:tab w:val="left" w:pos="1695"/>
        </w:tabs>
        <w:spacing w:after="0"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w:t>
      </w:r>
      <w:r w:rsidRPr="00BD052E">
        <w:rPr>
          <w:rFonts w:ascii="Arial" w:hAnsi="Arial" w:cs="Arial"/>
          <w:color w:val="000000"/>
        </w:rPr>
        <w:lastRenderedPageBreak/>
        <w:t xml:space="preserve">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7A33D0" w:rsidRDefault="007A33D0" w:rsidP="007A33D0">
      <w:pPr>
        <w:tabs>
          <w:tab w:val="left" w:pos="1695"/>
        </w:tabs>
        <w:spacing w:after="0" w:line="360" w:lineRule="auto"/>
        <w:jc w:val="both"/>
        <w:rPr>
          <w:rFonts w:ascii="Arial" w:hAnsi="Arial" w:cs="Arial"/>
          <w:color w:val="000000"/>
        </w:rPr>
      </w:pP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Procesos de enseñanza y aprendizaje</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intercambios pueden efectuarse en agrupamientos diferentes (individuales, grupales, en pequeños equipos) y en modalidades educativas distintas.</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7A33D0" w:rsidRPr="00BD052E" w:rsidRDefault="007A33D0" w:rsidP="007A33D0">
      <w:pPr>
        <w:tabs>
          <w:tab w:val="left" w:pos="1695"/>
        </w:tabs>
        <w:spacing w:after="0" w:line="360" w:lineRule="auto"/>
        <w:jc w:val="both"/>
        <w:rPr>
          <w:rFonts w:ascii="Arial" w:hAnsi="Arial" w:cs="Arial"/>
          <w:color w:val="000000"/>
        </w:rPr>
      </w:pP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Procesos grupales</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7A33D0" w:rsidRPr="00BD052E" w:rsidRDefault="007A33D0" w:rsidP="007A33D0">
      <w:pPr>
        <w:tabs>
          <w:tab w:val="left" w:pos="1695"/>
        </w:tabs>
        <w:spacing w:after="0" w:line="360" w:lineRule="auto"/>
        <w:jc w:val="both"/>
        <w:rPr>
          <w:rFonts w:ascii="Arial" w:hAnsi="Arial" w:cs="Arial"/>
          <w:color w:val="000000"/>
        </w:rPr>
      </w:pP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Procesos de orientación</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w:t>
      </w:r>
      <w:r w:rsidRPr="00BD052E">
        <w:rPr>
          <w:rFonts w:ascii="Arial" w:hAnsi="Arial" w:cs="Arial"/>
          <w:color w:val="000000"/>
        </w:rPr>
        <w:lastRenderedPageBreak/>
        <w:t xml:space="preserve">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rsidR="007A33D0" w:rsidRPr="00BD052E" w:rsidRDefault="007A33D0" w:rsidP="007A33D0">
      <w:pPr>
        <w:tabs>
          <w:tab w:val="left" w:pos="1695"/>
        </w:tabs>
        <w:spacing w:after="0" w:line="360" w:lineRule="auto"/>
        <w:jc w:val="both"/>
        <w:rPr>
          <w:rFonts w:ascii="Arial" w:hAnsi="Arial" w:cs="Arial"/>
          <w:color w:val="000000"/>
        </w:rPr>
      </w:pP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7A33D0" w:rsidRPr="00BD052E"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7A33D0" w:rsidRDefault="007A33D0" w:rsidP="007A33D0">
      <w:pPr>
        <w:tabs>
          <w:tab w:val="left" w:pos="1695"/>
        </w:tabs>
        <w:spacing w:after="0"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2B17C0" w:rsidRDefault="002B17C0" w:rsidP="007A33D0">
      <w:pPr>
        <w:spacing w:after="0" w:line="360" w:lineRule="auto"/>
        <w:rPr>
          <w:rFonts w:ascii="Arial" w:hAnsi="Arial" w:cs="Arial"/>
          <w:b/>
        </w:rPr>
      </w:pPr>
    </w:p>
    <w:p w:rsidR="002B17C0" w:rsidRDefault="002B17C0" w:rsidP="007A33D0">
      <w:pPr>
        <w:spacing w:after="0" w:line="360" w:lineRule="auto"/>
        <w:rPr>
          <w:rFonts w:ascii="Arial" w:hAnsi="Arial" w:cs="Arial"/>
          <w:b/>
        </w:rPr>
      </w:pPr>
    </w:p>
    <w:p w:rsidR="002B17C0" w:rsidRDefault="002B17C0" w:rsidP="007A33D0">
      <w:pPr>
        <w:spacing w:after="0" w:line="360" w:lineRule="auto"/>
        <w:rPr>
          <w:rFonts w:ascii="Arial" w:hAnsi="Arial" w:cs="Arial"/>
          <w:b/>
        </w:rPr>
      </w:pPr>
    </w:p>
    <w:p w:rsidR="007A33D0" w:rsidRDefault="007A33D0" w:rsidP="007A33D0">
      <w:pPr>
        <w:spacing w:after="0" w:line="360" w:lineRule="auto"/>
        <w:rPr>
          <w:rFonts w:ascii="Arial" w:hAnsi="Arial" w:cs="Arial"/>
          <w:b/>
        </w:rPr>
      </w:pPr>
      <w:r>
        <w:rPr>
          <w:rFonts w:ascii="Arial" w:hAnsi="Arial" w:cs="Arial"/>
          <w:b/>
        </w:rPr>
        <w:lastRenderedPageBreak/>
        <w:t>II</w:t>
      </w:r>
      <w:r w:rsidRPr="005B6CA1">
        <w:rPr>
          <w:rFonts w:ascii="Arial" w:hAnsi="Arial" w:cs="Arial"/>
          <w:b/>
        </w:rPr>
        <w:t>. IDENTIFICACIÓN DE NECESIDADES SOCIALES</w:t>
      </w:r>
    </w:p>
    <w:p w:rsidR="002B17C0" w:rsidRDefault="002B17C0" w:rsidP="004D4002">
      <w:pPr>
        <w:spacing w:after="0" w:line="360" w:lineRule="auto"/>
        <w:rPr>
          <w:rFonts w:ascii="Arial" w:hAnsi="Arial" w:cs="Arial"/>
          <w:b/>
        </w:rPr>
      </w:pPr>
    </w:p>
    <w:p w:rsidR="004D4002" w:rsidRPr="005B6CA1" w:rsidRDefault="004D4002" w:rsidP="004D4002">
      <w:pPr>
        <w:spacing w:after="0" w:line="360" w:lineRule="auto"/>
        <w:rPr>
          <w:rFonts w:ascii="Arial" w:hAnsi="Arial" w:cs="Arial"/>
        </w:rPr>
      </w:pPr>
      <w:r>
        <w:rPr>
          <w:rFonts w:ascii="Arial" w:hAnsi="Arial" w:cs="Arial"/>
          <w:b/>
        </w:rPr>
        <w:t>2</w:t>
      </w:r>
      <w:r w:rsidRPr="005B6CA1">
        <w:rPr>
          <w:rFonts w:ascii="Arial" w:hAnsi="Arial" w:cs="Arial"/>
          <w:b/>
        </w:rPr>
        <w:t>.</w:t>
      </w:r>
      <w:r>
        <w:rPr>
          <w:rFonts w:ascii="Arial" w:hAnsi="Arial" w:cs="Arial"/>
          <w:b/>
        </w:rPr>
        <w:t>1.</w:t>
      </w:r>
      <w:r w:rsidRPr="005B6CA1">
        <w:rPr>
          <w:rFonts w:ascii="Arial" w:hAnsi="Arial" w:cs="Arial"/>
        </w:rPr>
        <w:t xml:space="preserve"> </w:t>
      </w:r>
      <w:r w:rsidRPr="005B6CA1">
        <w:rPr>
          <w:rFonts w:ascii="Arial" w:hAnsi="Arial" w:cs="Arial"/>
          <w:b/>
        </w:rPr>
        <w:t>PERFIL DEMOGRÁFICO</w:t>
      </w:r>
    </w:p>
    <w:p w:rsidR="002A12B4" w:rsidRPr="005B6CA1" w:rsidRDefault="002A12B4" w:rsidP="002A12B4">
      <w:pPr>
        <w:spacing w:line="360" w:lineRule="auto"/>
        <w:jc w:val="both"/>
        <w:rPr>
          <w:rFonts w:ascii="Arial" w:hAnsi="Arial" w:cs="Arial"/>
        </w:rPr>
      </w:pPr>
      <w:r w:rsidRPr="005B6CA1">
        <w:rPr>
          <w:rFonts w:ascii="Arial" w:hAnsi="Arial" w:cs="Arial"/>
        </w:rPr>
        <w:t>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transmisibles; desplazamiento de la mortalidad como fuerza predominante por la morbilidad, sus secuelas y limitantes</w:t>
      </w:r>
      <w:r w:rsidRPr="005B6CA1">
        <w:rPr>
          <w:rStyle w:val="Refdenotaalpie"/>
          <w:rFonts w:ascii="Arial" w:hAnsi="Arial" w:cs="Arial"/>
        </w:rPr>
        <w:footnoteReference w:id="4"/>
      </w:r>
      <w:r w:rsidRPr="005B6CA1">
        <w:rPr>
          <w:rFonts w:ascii="Arial" w:hAnsi="Arial" w:cs="Arial"/>
        </w:rPr>
        <w:t xml:space="preserve"> </w:t>
      </w:r>
      <w:r w:rsidRPr="005B6CA1">
        <w:rPr>
          <w:rStyle w:val="Refdenotaalpie"/>
          <w:rFonts w:ascii="Arial" w:hAnsi="Arial" w:cs="Arial"/>
        </w:rPr>
        <w:footnoteReference w:id="5"/>
      </w:r>
      <w:r w:rsidRPr="005B6CA1">
        <w:rPr>
          <w:rFonts w:ascii="Arial" w:hAnsi="Arial" w:cs="Arial"/>
        </w:rPr>
        <w:t>.</w:t>
      </w:r>
    </w:p>
    <w:p w:rsidR="002A12B4" w:rsidRPr="005B6CA1" w:rsidRDefault="002A12B4" w:rsidP="002A12B4">
      <w:pPr>
        <w:spacing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(CONAPO) proyecta una población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 el grupo etario de 65 años y más aglomerará 17% de la población nacional, y en cambio, el grupo más joven será el de menor representación en la estructura etaria del país</w:t>
      </w:r>
      <w:r w:rsidRPr="005B6CA1">
        <w:rPr>
          <w:rStyle w:val="Refdenotaalpie"/>
          <w:rFonts w:ascii="Arial" w:hAnsi="Arial" w:cs="Arial"/>
        </w:rPr>
        <w:footnoteReference w:id="7"/>
      </w:r>
      <w:r w:rsidRPr="005B6CA1">
        <w:rPr>
          <w:rFonts w:ascii="Arial" w:hAnsi="Arial" w:cs="Arial"/>
        </w:rPr>
        <w:t xml:space="preserve">.  </w:t>
      </w:r>
    </w:p>
    <w:p w:rsidR="002A12B4" w:rsidRPr="005B6CA1" w:rsidRDefault="002A12B4" w:rsidP="002A12B4">
      <w:pPr>
        <w:spacing w:line="360" w:lineRule="auto"/>
        <w:jc w:val="both"/>
        <w:rPr>
          <w:rFonts w:ascii="Arial" w:hAnsi="Arial" w:cs="Arial"/>
        </w:rPr>
      </w:pPr>
      <w:r w:rsidRPr="005B6CA1">
        <w:rPr>
          <w:rFonts w:ascii="Arial" w:hAnsi="Arial" w:cs="Arial"/>
        </w:rPr>
        <w:t xml:space="preserve">Aunado a lo anterior, es importante señalar que el proceso de transición demográfica en el país no ha sido espacialmente uniforme, y, en consecuencia, existe un patrón </w:t>
      </w:r>
      <w:r w:rsidRPr="005B6CA1">
        <w:rPr>
          <w:rFonts w:ascii="Arial" w:hAnsi="Arial" w:cs="Arial"/>
        </w:rPr>
        <w:lastRenderedPageBreak/>
        <w:t>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5B6CA1">
        <w:rPr>
          <w:rStyle w:val="Refdenotaalpie"/>
          <w:rFonts w:ascii="Arial" w:hAnsi="Arial" w:cs="Arial"/>
        </w:rPr>
        <w:footnoteReference w:id="8"/>
      </w:r>
      <w:r w:rsidRPr="005B6CA1">
        <w:rPr>
          <w:rFonts w:ascii="Arial" w:hAnsi="Arial" w:cs="Arial"/>
        </w:rPr>
        <w:t>. Por ejemplo, para el año 2019, la entidad con mayor volumen poblacional es el Estado de México con 17.2 millones de habitantes, en cambio, 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9"/>
      </w:r>
      <w:r w:rsidRPr="005B6CA1">
        <w:rPr>
          <w:rFonts w:ascii="Arial" w:hAnsi="Arial" w:cs="Arial"/>
        </w:rPr>
        <w:t>.</w:t>
      </w:r>
    </w:p>
    <w:p w:rsidR="002A12B4" w:rsidRPr="005B6CA1" w:rsidRDefault="002A12B4" w:rsidP="002A12B4">
      <w:pPr>
        <w:spacing w:line="360" w:lineRule="auto"/>
        <w:jc w:val="center"/>
        <w:rPr>
          <w:rFonts w:ascii="Arial" w:hAnsi="Arial" w:cs="Arial"/>
          <w:b/>
        </w:rPr>
      </w:pPr>
      <w:r w:rsidRPr="005B6CA1">
        <w:rPr>
          <w:rFonts w:ascii="Arial" w:hAnsi="Arial" w:cs="Arial"/>
          <w:b/>
        </w:rPr>
        <w:t>Gráfica 1. Estructura etaria en México, 2019 y 2050.</w:t>
      </w:r>
    </w:p>
    <w:p w:rsidR="002A12B4" w:rsidRPr="005B6CA1" w:rsidRDefault="002A12B4" w:rsidP="002A12B4">
      <w:pPr>
        <w:spacing w:after="0" w:line="360" w:lineRule="auto"/>
        <w:jc w:val="center"/>
        <w:rPr>
          <w:rFonts w:ascii="Arial" w:hAnsi="Arial" w:cs="Arial"/>
        </w:rPr>
      </w:pPr>
      <w:r w:rsidRPr="005B6CA1">
        <w:rPr>
          <w:rFonts w:ascii="Arial" w:hAnsi="Arial" w:cs="Arial"/>
          <w:noProof/>
          <w:lang w:eastAsia="es-MX"/>
        </w:rPr>
        <w:drawing>
          <wp:inline distT="0" distB="0" distL="0" distR="0" wp14:anchorId="6FAC45B9" wp14:editId="3EFBB069">
            <wp:extent cx="4572000" cy="2736000"/>
            <wp:effectExtent l="0" t="0" r="0" b="7620"/>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2A12B4" w:rsidRPr="009762E7" w:rsidRDefault="00B43466" w:rsidP="002A12B4">
      <w:pPr>
        <w:spacing w:after="0" w:line="360" w:lineRule="auto"/>
        <w:ind w:left="708" w:firstLine="708"/>
        <w:jc w:val="both"/>
        <w:rPr>
          <w:rFonts w:ascii="Arial" w:hAnsi="Arial" w:cs="Arial"/>
          <w:sz w:val="20"/>
        </w:rPr>
      </w:pPr>
      <w:r>
        <w:rPr>
          <w:rFonts w:ascii="Arial" w:hAnsi="Arial" w:cs="Arial"/>
          <w:b/>
          <w:sz w:val="18"/>
        </w:rPr>
        <w:t xml:space="preserve">           </w:t>
      </w:r>
      <w:r w:rsidR="002A12B4" w:rsidRPr="009762E7">
        <w:rPr>
          <w:rFonts w:ascii="Arial" w:hAnsi="Arial" w:cs="Arial"/>
          <w:b/>
          <w:sz w:val="18"/>
        </w:rPr>
        <w:t>Fuente:</w:t>
      </w:r>
      <w:r w:rsidR="002A12B4" w:rsidRPr="009762E7">
        <w:rPr>
          <w:rFonts w:ascii="Arial" w:hAnsi="Arial" w:cs="Arial"/>
          <w:sz w:val="18"/>
        </w:rPr>
        <w:t xml:space="preserve"> Elaboración propia con base en CONAPO (2018).</w:t>
      </w:r>
      <w:r w:rsidR="002A12B4" w:rsidRPr="009762E7">
        <w:rPr>
          <w:rFonts w:ascii="Arial" w:hAnsi="Arial" w:cs="Arial"/>
          <w:sz w:val="20"/>
        </w:rPr>
        <w:t xml:space="preserve"> </w:t>
      </w:r>
    </w:p>
    <w:p w:rsidR="002A12B4" w:rsidRPr="005B6CA1" w:rsidRDefault="002A12B4" w:rsidP="002A12B4">
      <w:pPr>
        <w:spacing w:line="360" w:lineRule="auto"/>
        <w:jc w:val="both"/>
        <w:rPr>
          <w:rFonts w:ascii="Arial" w:hAnsi="Arial" w:cs="Arial"/>
        </w:rPr>
      </w:pPr>
    </w:p>
    <w:p w:rsidR="002A12B4" w:rsidRPr="005B6CA1" w:rsidRDefault="002A12B4" w:rsidP="002A12B4">
      <w:pPr>
        <w:spacing w:line="360" w:lineRule="auto"/>
        <w:jc w:val="both"/>
        <w:rPr>
          <w:rFonts w:ascii="Arial" w:hAnsi="Arial" w:cs="Arial"/>
        </w:rPr>
      </w:pPr>
      <w:r w:rsidRPr="005B6CA1">
        <w:rPr>
          <w:rFonts w:ascii="Arial" w:hAnsi="Arial" w:cs="Arial"/>
        </w:rPr>
        <w:t xml:space="preserve">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w:t>
      </w:r>
      <w:r w:rsidRPr="005B6CA1">
        <w:rPr>
          <w:rFonts w:ascii="Arial" w:hAnsi="Arial" w:cs="Arial"/>
        </w:rPr>
        <w:lastRenderedPageBreak/>
        <w:t>ámbitos de competencia gubernamental de distintos niveles</w:t>
      </w:r>
      <w:r w:rsidRPr="005B6CA1">
        <w:rPr>
          <w:rStyle w:val="Refdenotaalpie"/>
          <w:rFonts w:ascii="Arial" w:hAnsi="Arial" w:cs="Arial"/>
        </w:rPr>
        <w:footnoteReference w:id="10"/>
      </w:r>
      <w:r w:rsidRPr="005B6CA1">
        <w:rPr>
          <w:rFonts w:ascii="Arial" w:hAnsi="Arial" w:cs="Arial"/>
        </w:rPr>
        <w:t>. Al respecto, la Zona Metropolitana de la Ciudad de México (ZMCM) merece especial atención ya que, además de ser el corazón político y económico de una vasta región</w:t>
      </w:r>
      <w:r w:rsidR="00A14A4A">
        <w:rPr>
          <w:rFonts w:ascii="Arial" w:hAnsi="Arial" w:cs="Arial"/>
        </w:rPr>
        <w:t xml:space="preserve"> del</w:t>
      </w:r>
      <w:r w:rsidR="00A14A4A" w:rsidRPr="005B6CA1">
        <w:rPr>
          <w:rFonts w:ascii="Arial" w:hAnsi="Arial" w:cs="Arial"/>
        </w:rPr>
        <w:t xml:space="preserve"> país</w:t>
      </w:r>
      <w:r w:rsidRPr="005B6CA1">
        <w:rPr>
          <w:rFonts w:ascii="Arial" w:hAnsi="Arial" w:cs="Arial"/>
        </w:rPr>
        <w:t>, se ha consolidado como la principal urbe del país (y una de las más pobladas del planeta). Además, la ZMCM constituye una importante área de influencia directa de la Universidad La Salle.</w:t>
      </w:r>
    </w:p>
    <w:p w:rsidR="002A12B4" w:rsidRDefault="002A12B4" w:rsidP="002A12B4">
      <w:pPr>
        <w:spacing w:line="360" w:lineRule="auto"/>
        <w:jc w:val="both"/>
        <w:rPr>
          <w:rFonts w:ascii="Arial" w:hAnsi="Arial" w:cs="Arial"/>
          <w:b/>
        </w:rPr>
      </w:pPr>
      <w:r w:rsidRPr="005B6CA1">
        <w:rPr>
          <w:rFonts w:ascii="Arial" w:hAnsi="Arial" w:cs="Arial"/>
        </w:rPr>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1"/>
      </w:r>
      <w:r w:rsidRPr="005B6CA1">
        <w:rPr>
          <w:rFonts w:ascii="Arial" w:hAnsi="Arial" w:cs="Arial"/>
        </w:rPr>
        <w:t>.</w:t>
      </w: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2B17C0" w:rsidRDefault="002B17C0"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2A12B4" w:rsidRPr="005B6CA1" w:rsidRDefault="002A12B4" w:rsidP="002A12B4">
      <w:pPr>
        <w:spacing w:after="0" w:line="360" w:lineRule="auto"/>
        <w:jc w:val="center"/>
        <w:rPr>
          <w:rFonts w:ascii="Arial" w:hAnsi="Arial" w:cs="Arial"/>
          <w:b/>
        </w:rPr>
      </w:pPr>
      <w:r w:rsidRPr="005B6CA1">
        <w:rPr>
          <w:rFonts w:ascii="Arial" w:hAnsi="Arial" w:cs="Arial"/>
          <w:b/>
        </w:rPr>
        <w:lastRenderedPageBreak/>
        <w:t>Gráfica 2. Estructura etaria en la Zona Metropolitana de la Ciudad de México, 2015.</w:t>
      </w:r>
    </w:p>
    <w:p w:rsidR="002A12B4" w:rsidRPr="005B6CA1" w:rsidRDefault="002A12B4" w:rsidP="002A12B4">
      <w:pPr>
        <w:spacing w:after="0" w:line="360" w:lineRule="auto"/>
        <w:jc w:val="center"/>
        <w:rPr>
          <w:rFonts w:ascii="Arial" w:hAnsi="Arial" w:cs="Arial"/>
        </w:rPr>
      </w:pPr>
      <w:r w:rsidRPr="005B6CA1">
        <w:rPr>
          <w:rFonts w:ascii="Arial" w:hAnsi="Arial" w:cs="Arial"/>
          <w:noProof/>
          <w:lang w:eastAsia="es-MX"/>
        </w:rPr>
        <w:drawing>
          <wp:inline distT="0" distB="0" distL="0" distR="0" wp14:anchorId="58AB7CB1" wp14:editId="45DB7641">
            <wp:extent cx="4572000" cy="2736000"/>
            <wp:effectExtent l="0" t="0" r="0" b="7620"/>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2A12B4" w:rsidRPr="005B6CA1" w:rsidRDefault="00B43466" w:rsidP="002A12B4">
      <w:pPr>
        <w:spacing w:after="0" w:line="360" w:lineRule="auto"/>
        <w:ind w:left="708" w:firstLine="708"/>
        <w:jc w:val="both"/>
        <w:rPr>
          <w:rFonts w:ascii="Arial" w:hAnsi="Arial" w:cs="Arial"/>
        </w:rPr>
      </w:pPr>
      <w:r>
        <w:rPr>
          <w:rFonts w:ascii="Arial" w:hAnsi="Arial" w:cs="Arial"/>
          <w:b/>
          <w:sz w:val="18"/>
        </w:rPr>
        <w:t xml:space="preserve">                   </w:t>
      </w:r>
      <w:r w:rsidR="002A12B4" w:rsidRPr="009762E7">
        <w:rPr>
          <w:rFonts w:ascii="Arial" w:hAnsi="Arial" w:cs="Arial"/>
          <w:b/>
          <w:sz w:val="18"/>
        </w:rPr>
        <w:t>Fuente:</w:t>
      </w:r>
      <w:r w:rsidR="002A12B4" w:rsidRPr="009762E7">
        <w:rPr>
          <w:rFonts w:ascii="Arial" w:hAnsi="Arial" w:cs="Arial"/>
          <w:sz w:val="18"/>
        </w:rPr>
        <w:t xml:space="preserve"> Elaboración propia con base en INEGI (2016).</w:t>
      </w:r>
      <w:r w:rsidR="002A12B4" w:rsidRPr="009762E7">
        <w:rPr>
          <w:rFonts w:ascii="Arial" w:hAnsi="Arial" w:cs="Arial"/>
          <w:sz w:val="20"/>
        </w:rPr>
        <w:t xml:space="preserve"> </w:t>
      </w:r>
    </w:p>
    <w:p w:rsidR="002A12B4" w:rsidRDefault="002A12B4" w:rsidP="002A12B4">
      <w:pPr>
        <w:spacing w:line="360" w:lineRule="auto"/>
        <w:jc w:val="both"/>
        <w:rPr>
          <w:rFonts w:ascii="Arial" w:hAnsi="Arial" w:cs="Arial"/>
        </w:rPr>
      </w:pPr>
    </w:p>
    <w:p w:rsidR="002A12B4" w:rsidRPr="005B6CA1" w:rsidRDefault="002A12B4" w:rsidP="002A12B4">
      <w:pPr>
        <w:spacing w:line="360" w:lineRule="auto"/>
        <w:jc w:val="both"/>
        <w:rPr>
          <w:rFonts w:ascii="Arial" w:hAnsi="Arial" w:cs="Arial"/>
        </w:rPr>
      </w:pPr>
      <w:r w:rsidRPr="005B6CA1">
        <w:rPr>
          <w:rFonts w:ascii="Arial" w:hAnsi="Arial" w:cs="Arial"/>
        </w:rPr>
        <w:t>Aunado a lo anterior, 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salud</w:t>
      </w:r>
      <w:r w:rsidRPr="005B6CA1">
        <w:rPr>
          <w:rStyle w:val="Refdenotaalpie"/>
          <w:rFonts w:ascii="Arial" w:hAnsi="Arial" w:cs="Arial"/>
        </w:rPr>
        <w:footnoteReference w:id="12"/>
      </w:r>
      <w:r w:rsidRPr="005B6CA1">
        <w:rPr>
          <w:rFonts w:ascii="Arial" w:hAnsi="Arial" w:cs="Arial"/>
        </w:rPr>
        <w:t>. El proceso de metropolización ha incorporado unidades político-administrativas adyacentes como resultado de mecanismos expulsores generados por la propia dinámica económica y social de la ciudad central. Muestra de ello es que el proceso de envejecimiento se revela un</w:t>
      </w:r>
      <w:r>
        <w:rPr>
          <w:rFonts w:ascii="Arial" w:hAnsi="Arial" w:cs="Arial"/>
        </w:rPr>
        <w:t xml:space="preserve">a estructura </w:t>
      </w:r>
      <w:r w:rsidR="00A14A4A">
        <w:rPr>
          <w:rFonts w:ascii="Arial" w:hAnsi="Arial" w:cs="Arial"/>
        </w:rPr>
        <w:t>monocéntrica (</w:t>
      </w:r>
      <w:r w:rsidRPr="005B6CA1">
        <w:rPr>
          <w:rFonts w:ascii="Arial" w:hAnsi="Arial" w:cs="Arial"/>
        </w:rPr>
        <w:t xml:space="preserve">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2B17C0" w:rsidRDefault="002B17C0" w:rsidP="002A12B4">
      <w:pPr>
        <w:spacing w:line="360" w:lineRule="auto"/>
        <w:jc w:val="center"/>
        <w:rPr>
          <w:rFonts w:ascii="Arial" w:hAnsi="Arial" w:cs="Arial"/>
          <w:b/>
        </w:rPr>
      </w:pPr>
    </w:p>
    <w:p w:rsidR="002B17C0" w:rsidRDefault="002B17C0" w:rsidP="002A12B4">
      <w:pPr>
        <w:spacing w:line="360" w:lineRule="auto"/>
        <w:jc w:val="center"/>
        <w:rPr>
          <w:rFonts w:ascii="Arial" w:hAnsi="Arial" w:cs="Arial"/>
          <w:b/>
        </w:rPr>
      </w:pPr>
    </w:p>
    <w:p w:rsidR="002B17C0" w:rsidRDefault="002B17C0" w:rsidP="002A12B4">
      <w:pPr>
        <w:spacing w:line="360" w:lineRule="auto"/>
        <w:jc w:val="center"/>
        <w:rPr>
          <w:rFonts w:ascii="Arial" w:hAnsi="Arial" w:cs="Arial"/>
          <w:b/>
        </w:rPr>
      </w:pPr>
    </w:p>
    <w:p w:rsidR="002A12B4" w:rsidRPr="005B6CA1" w:rsidRDefault="002A12B4" w:rsidP="002A12B4">
      <w:pPr>
        <w:spacing w:line="360" w:lineRule="auto"/>
        <w:jc w:val="center"/>
        <w:rPr>
          <w:rFonts w:ascii="Arial" w:hAnsi="Arial" w:cs="Arial"/>
          <w:b/>
        </w:rPr>
      </w:pPr>
      <w:r w:rsidRPr="005B6CA1">
        <w:rPr>
          <w:rFonts w:ascii="Arial" w:hAnsi="Arial" w:cs="Arial"/>
          <w:b/>
        </w:rPr>
        <w:lastRenderedPageBreak/>
        <w:t>Mapa 1. Distribución espacial de la población de 65 años y más a nivel municipal en la Zona Metropolitana de la Ciudad de México, 2015.</w:t>
      </w:r>
    </w:p>
    <w:p w:rsidR="002A12B4" w:rsidRPr="005B6CA1" w:rsidRDefault="002A12B4" w:rsidP="002A12B4">
      <w:pPr>
        <w:spacing w:after="0" w:line="360" w:lineRule="auto"/>
        <w:jc w:val="center"/>
        <w:rPr>
          <w:rFonts w:ascii="Arial" w:hAnsi="Arial" w:cs="Arial"/>
        </w:rPr>
      </w:pPr>
      <w:r w:rsidRPr="005B6CA1">
        <w:rPr>
          <w:rFonts w:ascii="Arial" w:hAnsi="Arial" w:cs="Arial"/>
          <w:noProof/>
          <w:lang w:eastAsia="es-MX"/>
        </w:rPr>
        <w:drawing>
          <wp:inline distT="0" distB="0" distL="0" distR="0" wp14:anchorId="0F54814B" wp14:editId="37F0E061">
            <wp:extent cx="3240000" cy="3176966"/>
            <wp:effectExtent l="19050" t="19050" r="17780" b="2349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2A12B4" w:rsidRPr="009762E7" w:rsidRDefault="00B43466" w:rsidP="002A12B4">
      <w:pPr>
        <w:spacing w:after="0" w:line="360" w:lineRule="auto"/>
        <w:ind w:left="1416"/>
        <w:jc w:val="both"/>
        <w:rPr>
          <w:rFonts w:ascii="Arial" w:hAnsi="Arial" w:cs="Arial"/>
          <w:sz w:val="18"/>
        </w:rPr>
      </w:pPr>
      <w:r>
        <w:rPr>
          <w:rFonts w:ascii="Arial" w:hAnsi="Arial" w:cs="Arial"/>
          <w:b/>
          <w:sz w:val="18"/>
        </w:rPr>
        <w:t xml:space="preserve">                </w:t>
      </w:r>
      <w:r w:rsidR="002A12B4" w:rsidRPr="009762E7">
        <w:rPr>
          <w:rFonts w:ascii="Arial" w:hAnsi="Arial" w:cs="Arial"/>
          <w:b/>
          <w:sz w:val="18"/>
        </w:rPr>
        <w:t>Fuente:</w:t>
      </w:r>
      <w:r w:rsidR="002A12B4" w:rsidRPr="009762E7">
        <w:rPr>
          <w:rFonts w:ascii="Arial" w:hAnsi="Arial" w:cs="Arial"/>
          <w:sz w:val="18"/>
        </w:rPr>
        <w:t xml:space="preserve"> Elaboración propia con base en </w:t>
      </w:r>
      <w:r w:rsidR="002A12B4">
        <w:rPr>
          <w:rFonts w:ascii="Arial" w:hAnsi="Arial" w:cs="Arial"/>
          <w:sz w:val="18"/>
        </w:rPr>
        <w:t>INEGI (2016</w:t>
      </w:r>
      <w:r w:rsidR="002A12B4" w:rsidRPr="009762E7">
        <w:rPr>
          <w:rFonts w:ascii="Arial" w:hAnsi="Arial" w:cs="Arial"/>
          <w:sz w:val="18"/>
        </w:rPr>
        <w:t>).</w:t>
      </w:r>
    </w:p>
    <w:p w:rsidR="002A12B4" w:rsidRDefault="002A12B4" w:rsidP="002A12B4">
      <w:pPr>
        <w:spacing w:line="360" w:lineRule="auto"/>
        <w:jc w:val="both"/>
        <w:rPr>
          <w:rFonts w:ascii="Arial" w:hAnsi="Arial" w:cs="Arial"/>
        </w:rPr>
      </w:pPr>
    </w:p>
    <w:p w:rsidR="002A12B4" w:rsidRPr="005B6CA1" w:rsidRDefault="002A12B4" w:rsidP="002A12B4">
      <w:pPr>
        <w:spacing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3"/>
      </w:r>
      <w:r w:rsidRPr="005B6CA1">
        <w:rPr>
          <w:rFonts w:ascii="Arial" w:hAnsi="Arial" w:cs="Arial"/>
        </w:rPr>
        <w:t>. La transición demográfica, junto con la epidemiológica, han llevado a una rápida tendencia hacia el envejecimiento poblacional del país y de la ZMCM, acompañado de un incremento absoluto y relativo de las enfermedades crónicas degenerativas no transmisibles 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2A12B4" w:rsidRDefault="002A12B4" w:rsidP="002A12B4">
      <w:pPr>
        <w:spacing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w:t>
      </w:r>
      <w:r w:rsidRPr="005B6CA1">
        <w:rPr>
          <w:rFonts w:ascii="Arial" w:hAnsi="Arial" w:cs="Arial"/>
        </w:rPr>
        <w:lastRenderedPageBreak/>
        <w:t xml:space="preserve">por eso que el siguiente apartado tiene como objetivo bosquejar el panorama epidemiológico del país, así como la (in)actividad física de la población, en el contexto de la transición en salud. </w:t>
      </w:r>
    </w:p>
    <w:p w:rsidR="002A12B4" w:rsidRPr="005B6CA1" w:rsidRDefault="002A12B4" w:rsidP="002A12B4">
      <w:pPr>
        <w:spacing w:after="0" w:line="360" w:lineRule="auto"/>
        <w:rPr>
          <w:rFonts w:ascii="Arial" w:hAnsi="Arial" w:cs="Arial"/>
        </w:rPr>
      </w:pPr>
      <w:r>
        <w:rPr>
          <w:rFonts w:ascii="Arial" w:hAnsi="Arial" w:cs="Arial"/>
          <w:b/>
        </w:rPr>
        <w:t>2.2</w:t>
      </w:r>
      <w:r w:rsidRPr="005B6CA1">
        <w:rPr>
          <w:rFonts w:ascii="Arial" w:hAnsi="Arial" w:cs="Arial"/>
          <w:b/>
        </w:rPr>
        <w:t>.</w:t>
      </w:r>
      <w:r w:rsidRPr="005B6CA1">
        <w:rPr>
          <w:rFonts w:ascii="Arial" w:hAnsi="Arial" w:cs="Arial"/>
        </w:rPr>
        <w:t xml:space="preserve"> </w:t>
      </w:r>
      <w:r w:rsidRPr="005B6CA1">
        <w:rPr>
          <w:rFonts w:ascii="Arial" w:hAnsi="Arial" w:cs="Arial"/>
          <w:b/>
        </w:rPr>
        <w:t xml:space="preserve">PERFIL </w:t>
      </w:r>
      <w:r>
        <w:rPr>
          <w:rFonts w:ascii="Arial" w:hAnsi="Arial" w:cs="Arial"/>
          <w:b/>
        </w:rPr>
        <w:t xml:space="preserve">EN SALUD </w:t>
      </w:r>
    </w:p>
    <w:p w:rsidR="002A12B4" w:rsidRPr="005B6CA1" w:rsidRDefault="002A12B4" w:rsidP="002A12B4">
      <w:pPr>
        <w:spacing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4"/>
      </w:r>
      <w:r w:rsidRPr="005B6CA1">
        <w:rPr>
          <w:rFonts w:ascii="Arial" w:hAnsi="Arial" w:cs="Arial"/>
        </w:rPr>
        <w:t>.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5"/>
      </w:r>
      <w:r w:rsidRPr="005B6CA1">
        <w:rPr>
          <w:rFonts w:ascii="Arial" w:hAnsi="Arial" w:cs="Arial"/>
        </w:rPr>
        <w:t>.</w:t>
      </w:r>
    </w:p>
    <w:p w:rsidR="002A12B4" w:rsidRPr="005B6CA1" w:rsidRDefault="002A12B4" w:rsidP="002A12B4">
      <w:pPr>
        <w:spacing w:line="360" w:lineRule="auto"/>
        <w:jc w:val="both"/>
        <w:rPr>
          <w:rFonts w:ascii="Arial" w:hAnsi="Arial" w:cs="Arial"/>
        </w:rPr>
      </w:pPr>
      <w:r w:rsidRPr="005B6CA1">
        <w:rPr>
          <w:rFonts w:ascii="Arial" w:hAnsi="Arial" w:cs="Arial"/>
        </w:rPr>
        <w:t xml:space="preserve">El proceso dinámico en el cual los patrones de salud y enfermedad, así como la respuesta social organizada a dichas </w:t>
      </w:r>
      <w:r w:rsidR="00A14A4A" w:rsidRPr="005B6CA1">
        <w:rPr>
          <w:rFonts w:ascii="Arial" w:hAnsi="Arial" w:cs="Arial"/>
        </w:rPr>
        <w:t>condiciones, se</w:t>
      </w:r>
      <w:r w:rsidRPr="005B6CA1">
        <w:rPr>
          <w:rFonts w:ascii="Arial" w:hAnsi="Arial" w:cs="Arial"/>
        </w:rPr>
        <w:t xml:space="preserve"> han ido transformando en respuesta a cambios más amplios de índole demográfica, socioeconómica, tecnológica, política, cultural y biológica, se le considera como la transición en salud. Este último concepto está integrado 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6"/>
      </w:r>
      <w:r w:rsidRPr="005B6CA1">
        <w:rPr>
          <w:rFonts w:ascii="Arial" w:hAnsi="Arial" w:cs="Arial"/>
        </w:rPr>
        <w:t>. Para fines de la presente fundamentación, se aborda el estado actual de la transición epidemiológica como marco conductor del análisis.</w:t>
      </w:r>
    </w:p>
    <w:p w:rsidR="002A12B4" w:rsidRPr="005B6CA1" w:rsidRDefault="002A12B4" w:rsidP="002A12B4">
      <w:pPr>
        <w:spacing w:after="0" w:line="360" w:lineRule="auto"/>
        <w:rPr>
          <w:rFonts w:ascii="Arial" w:hAnsi="Arial" w:cs="Arial"/>
        </w:rPr>
      </w:pPr>
      <w:r>
        <w:rPr>
          <w:rFonts w:ascii="Arial" w:hAnsi="Arial" w:cs="Arial"/>
          <w:b/>
        </w:rPr>
        <w:lastRenderedPageBreak/>
        <w:t>2</w:t>
      </w:r>
      <w:r w:rsidRPr="005B6CA1">
        <w:rPr>
          <w:rFonts w:ascii="Arial" w:hAnsi="Arial" w:cs="Arial"/>
          <w:b/>
        </w:rPr>
        <w:t>.</w:t>
      </w:r>
      <w:r>
        <w:rPr>
          <w:rFonts w:ascii="Arial" w:hAnsi="Arial" w:cs="Arial"/>
          <w:b/>
        </w:rPr>
        <w:t>3</w:t>
      </w:r>
      <w:r w:rsidRPr="005B6CA1">
        <w:rPr>
          <w:rFonts w:ascii="Arial" w:hAnsi="Arial" w:cs="Arial"/>
        </w:rPr>
        <w:t xml:space="preserve"> </w:t>
      </w:r>
      <w:r>
        <w:rPr>
          <w:rFonts w:ascii="Arial" w:hAnsi="Arial" w:cs="Arial"/>
          <w:b/>
        </w:rPr>
        <w:t xml:space="preserve">MORBILIDAD </w:t>
      </w:r>
    </w:p>
    <w:p w:rsidR="002A12B4" w:rsidRPr="005B6CA1" w:rsidRDefault="002A12B4" w:rsidP="002A12B4">
      <w:pPr>
        <w:spacing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5B6CA1">
        <w:rPr>
          <w:rFonts w:ascii="Arial" w:hAnsi="Arial" w:cs="Arial"/>
          <w:i/>
        </w:rPr>
        <w:t>et al.</w:t>
      </w:r>
      <w:r w:rsidRPr="005B6CA1">
        <w:rPr>
          <w:rFonts w:ascii="Arial" w:hAnsi="Arial" w:cs="Arial"/>
        </w:rPr>
        <w:t xml:space="preserve"> señala:</w:t>
      </w:r>
    </w:p>
    <w:p w:rsidR="002A12B4" w:rsidRPr="005B6CA1" w:rsidRDefault="002A12B4" w:rsidP="002A12B4">
      <w:pPr>
        <w:spacing w:line="360" w:lineRule="auto"/>
        <w:ind w:left="708"/>
        <w:jc w:val="both"/>
        <w:rPr>
          <w:rFonts w:ascii="Arial" w:hAnsi="Arial" w:cs="Arial"/>
        </w:rPr>
      </w:pPr>
      <w:r w:rsidRPr="009762E7">
        <w:rPr>
          <w:rFonts w:ascii="Arial" w:hAnsi="Arial" w:cs="Arial"/>
          <w:i/>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 (p.487)</w:t>
      </w:r>
      <w:r w:rsidRPr="005B6CA1">
        <w:rPr>
          <w:rStyle w:val="Refdenotaalpie"/>
          <w:rFonts w:ascii="Arial" w:hAnsi="Arial" w:cs="Arial"/>
        </w:rPr>
        <w:footnoteReference w:id="17"/>
      </w:r>
      <w:r w:rsidRPr="005B6CA1">
        <w:rPr>
          <w:rFonts w:ascii="Arial" w:hAnsi="Arial" w:cs="Arial"/>
        </w:rPr>
        <w:t>.</w:t>
      </w:r>
    </w:p>
    <w:p w:rsidR="002A12B4" w:rsidRPr="005B6CA1" w:rsidRDefault="002A12B4" w:rsidP="002A12B4">
      <w:pPr>
        <w:spacing w:line="360" w:lineRule="auto"/>
        <w:jc w:val="both"/>
        <w:rPr>
          <w:rFonts w:ascii="Arial" w:hAnsi="Arial" w:cs="Arial"/>
        </w:rPr>
      </w:pPr>
      <w:r w:rsidRPr="005B6CA1">
        <w:rPr>
          <w:rFonts w:ascii="Arial" w:hAnsi="Arial" w:cs="Arial"/>
        </w:rPr>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8"/>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9"/>
      </w:r>
      <w:r w:rsidRPr="005B6CA1">
        <w:rPr>
          <w:rFonts w:ascii="Arial" w:hAnsi="Arial" w:cs="Arial"/>
        </w:rPr>
        <w:t xml:space="preserve">. Es importante señalar que existe un claro diferencial de niveles y causas de </w:t>
      </w:r>
      <w:r>
        <w:rPr>
          <w:rFonts w:ascii="Arial" w:hAnsi="Arial" w:cs="Arial"/>
        </w:rPr>
        <w:t xml:space="preserve">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relacionan con las etapas del curso de vida de las personas: menores de un año (población infantil), 1 a 4 años (niños en edad preescolar), 5 a 14 años (niños en edad escolar), 15 a 24 años (adolescentes y jóvenes), 25 a 44 años (adultos jóvenes), 45 a 64 años (adultos maduros), 65 a 74 años (adultos mayores, tercera edad) y 75 años en adelante (adultos mayores, cuarta edad)</w:t>
      </w:r>
      <w:r w:rsidRPr="005B6CA1">
        <w:rPr>
          <w:rStyle w:val="Refdenotaalpie"/>
          <w:rFonts w:ascii="Arial" w:hAnsi="Arial" w:cs="Arial"/>
        </w:rPr>
        <w:footnoteReference w:id="20"/>
      </w:r>
      <w:r w:rsidRPr="005B6CA1">
        <w:rPr>
          <w:rFonts w:ascii="Arial" w:hAnsi="Arial" w:cs="Arial"/>
        </w:rPr>
        <w:t xml:space="preserve"> </w:t>
      </w:r>
      <w:r w:rsidRPr="005B6CA1">
        <w:rPr>
          <w:rStyle w:val="Refdenotaalpie"/>
          <w:rFonts w:ascii="Arial" w:hAnsi="Arial" w:cs="Arial"/>
        </w:rPr>
        <w:footnoteReference w:id="21"/>
      </w:r>
      <w:r w:rsidRPr="005B6CA1">
        <w:rPr>
          <w:rFonts w:ascii="Arial" w:hAnsi="Arial" w:cs="Arial"/>
        </w:rPr>
        <w:t xml:space="preserve">. </w:t>
      </w: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2A12B4" w:rsidRPr="00B418B4" w:rsidRDefault="002A12B4" w:rsidP="002A12B4">
      <w:pPr>
        <w:spacing w:after="0" w:line="360" w:lineRule="auto"/>
        <w:jc w:val="center"/>
        <w:rPr>
          <w:rFonts w:ascii="Arial" w:hAnsi="Arial" w:cs="Arial"/>
          <w:b/>
        </w:rPr>
      </w:pPr>
      <w:r w:rsidRPr="00B418B4">
        <w:rPr>
          <w:rFonts w:ascii="Arial" w:hAnsi="Arial" w:cs="Arial"/>
          <w:b/>
        </w:rPr>
        <w:lastRenderedPageBreak/>
        <w:t>Gráfica</w:t>
      </w:r>
      <w:r>
        <w:rPr>
          <w:rFonts w:ascii="Arial" w:hAnsi="Arial" w:cs="Arial"/>
          <w:b/>
        </w:rPr>
        <w:t xml:space="preserve"> 3</w:t>
      </w:r>
      <w:r w:rsidRPr="00B418B4">
        <w:rPr>
          <w:rFonts w:ascii="Arial" w:hAnsi="Arial" w:cs="Arial"/>
          <w:b/>
        </w:rPr>
        <w:t>. Distribución de la morbilidad en México según edad y sexo, 2017.</w:t>
      </w:r>
    </w:p>
    <w:p w:rsidR="002A12B4" w:rsidRDefault="002A12B4" w:rsidP="002A12B4">
      <w:pPr>
        <w:spacing w:after="0" w:line="360" w:lineRule="auto"/>
        <w:jc w:val="center"/>
        <w:rPr>
          <w:rFonts w:ascii="Arial" w:hAnsi="Arial" w:cs="Arial"/>
        </w:rPr>
      </w:pPr>
      <w:r>
        <w:rPr>
          <w:noProof/>
          <w:lang w:eastAsia="es-MX"/>
        </w:rPr>
        <w:drawing>
          <wp:inline distT="0" distB="0" distL="0" distR="0" wp14:anchorId="2EDCC3AE" wp14:editId="664BA6E7">
            <wp:extent cx="4572000" cy="2743200"/>
            <wp:effectExtent l="0" t="0" r="0" b="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A12B4" w:rsidRPr="003D1C94" w:rsidRDefault="00B43466" w:rsidP="002A12B4">
      <w:pPr>
        <w:spacing w:after="0" w:line="360" w:lineRule="auto"/>
        <w:ind w:left="1416" w:firstLine="708"/>
        <w:jc w:val="both"/>
        <w:rPr>
          <w:rFonts w:ascii="Arial" w:hAnsi="Arial" w:cs="Arial"/>
          <w:sz w:val="18"/>
          <w:szCs w:val="18"/>
        </w:rPr>
      </w:pPr>
      <w:r>
        <w:rPr>
          <w:rFonts w:ascii="Arial" w:hAnsi="Arial" w:cs="Arial"/>
          <w:b/>
          <w:sz w:val="18"/>
          <w:szCs w:val="18"/>
        </w:rPr>
        <w:t xml:space="preserve">     </w:t>
      </w:r>
      <w:r w:rsidR="002A12B4" w:rsidRPr="003D1C94">
        <w:rPr>
          <w:rFonts w:ascii="Arial" w:hAnsi="Arial" w:cs="Arial"/>
          <w:b/>
          <w:sz w:val="18"/>
          <w:szCs w:val="18"/>
        </w:rPr>
        <w:t>Fuente:</w:t>
      </w:r>
      <w:r w:rsidR="002A12B4" w:rsidRPr="003D1C94">
        <w:rPr>
          <w:rFonts w:ascii="Arial" w:hAnsi="Arial" w:cs="Arial"/>
          <w:sz w:val="18"/>
          <w:szCs w:val="18"/>
        </w:rPr>
        <w:t xml:space="preserve"> Elabo</w:t>
      </w:r>
      <w:r w:rsidR="002A12B4">
        <w:rPr>
          <w:rFonts w:ascii="Arial" w:hAnsi="Arial" w:cs="Arial"/>
          <w:sz w:val="18"/>
          <w:szCs w:val="18"/>
        </w:rPr>
        <w:t>ración propia con base en SSA (s.f.</w:t>
      </w:r>
      <w:r w:rsidR="002A12B4" w:rsidRPr="003D1C94">
        <w:rPr>
          <w:rFonts w:ascii="Arial" w:hAnsi="Arial" w:cs="Arial"/>
          <w:sz w:val="18"/>
          <w:szCs w:val="18"/>
        </w:rPr>
        <w:t>).</w:t>
      </w:r>
    </w:p>
    <w:p w:rsidR="002A12B4" w:rsidRPr="005B6CA1" w:rsidRDefault="002A12B4" w:rsidP="002A12B4">
      <w:pPr>
        <w:spacing w:line="360" w:lineRule="auto"/>
        <w:jc w:val="center"/>
        <w:rPr>
          <w:rFonts w:ascii="Arial" w:hAnsi="Arial" w:cs="Arial"/>
        </w:rPr>
      </w:pPr>
    </w:p>
    <w:p w:rsidR="002A12B4" w:rsidRDefault="002A12B4" w:rsidP="002A12B4">
      <w:pPr>
        <w:spacing w:line="360" w:lineRule="auto"/>
        <w:jc w:val="both"/>
        <w:rPr>
          <w:rFonts w:ascii="Arial" w:hAnsi="Arial" w:cs="Arial"/>
        </w:rPr>
      </w:pPr>
      <w:r w:rsidRPr="005B6CA1">
        <w:rPr>
          <w:rFonts w:ascii="Arial" w:hAnsi="Arial" w:cs="Arial"/>
        </w:rPr>
        <w:t xml:space="preserve">En cuanto a la etiología de las enfermedades, en el esquema de morbilidad nacional </w:t>
      </w:r>
      <w:r>
        <w:rPr>
          <w:rFonts w:ascii="Arial" w:hAnsi="Arial" w:cs="Arial"/>
        </w:rPr>
        <w:t xml:space="preserve">resulta bastante heterogéneo y con marcados diferenciales –tanto en niveles como en causas– por sexos y edades, ya que </w:t>
      </w:r>
      <w:r w:rsidRPr="005B6CA1">
        <w:rPr>
          <w:rFonts w:ascii="Arial" w:hAnsi="Arial" w:cs="Arial"/>
        </w:rPr>
        <w:t>conviven tanto padecimientos transmisibles como no transmisibles.</w:t>
      </w:r>
      <w:r>
        <w:rPr>
          <w:rFonts w:ascii="Arial" w:hAnsi="Arial" w:cs="Arial"/>
        </w:rPr>
        <w:t xml:space="preserve"> El padecimiento de mayor frecuencia, tanto en hombres como en mujeres son las infecciones respiratorias agudas, siendo los menores de un año los de mayor incidencia (8,480.9 y 8,315.9 por cada 10,000 hombres y mujeres, respectivamente). Por otro lado las infecciones intestinales son la segunda causa de enfermedad para la población masculina de 0-64 años; en el caso de las mujeres, este padecimiento es la segunda causa en la población de 0-14; sin embargo, a partir de los 15 años existe un punto de inflexión, pues la segunda causa de morbilidad femenina son las infecciones de vías urinarias (en el caso de los hombres, es hasta el grupo etario más envejecido cuando se da esta inflexión, y prácticamente representa la tercer causa de morbilidad entre los 15 y 64 años). La conjuntivitis también es un padecimiento latente a lo largo de todo el ciclo de vida de hombres y mujeres, aunque sus niveles más altos están en los grupos etarios más jóvenes (0-14 años). Asimismo, la otitis es otro padecimiento de alta frecuencia en la población masculina de 0-59 años y la femenina de 0-44 años. Por otro lado, las ú</w:t>
      </w:r>
      <w:r w:rsidRPr="004A107D">
        <w:rPr>
          <w:rFonts w:ascii="Arial" w:hAnsi="Arial" w:cs="Arial"/>
        </w:rPr>
        <w:t>lceras, gastritis y duodenitis</w:t>
      </w:r>
      <w:r>
        <w:rPr>
          <w:rFonts w:ascii="Arial" w:hAnsi="Arial" w:cs="Arial"/>
        </w:rPr>
        <w:t xml:space="preserve"> comienzan a tomar relevancia como una de las principales causas de morbilidad a partir de los 5-14 años, con una tendencia </w:t>
      </w:r>
      <w:r w:rsidR="00C65C51">
        <w:rPr>
          <w:rFonts w:ascii="Arial" w:hAnsi="Arial" w:cs="Arial"/>
        </w:rPr>
        <w:t>al alza</w:t>
      </w:r>
      <w:r>
        <w:rPr>
          <w:rFonts w:ascii="Arial" w:hAnsi="Arial" w:cs="Arial"/>
        </w:rPr>
        <w:t xml:space="preserve"> hacia edades mayores. </w:t>
      </w:r>
      <w:r>
        <w:rPr>
          <w:rFonts w:ascii="Arial" w:hAnsi="Arial" w:cs="Arial"/>
        </w:rPr>
        <w:lastRenderedPageBreak/>
        <w:t>En el caso específico de los hombres, las lesiones por accidente de tránsito son la décima causa entre adolescentes y jóvenes (15-24 años)</w:t>
      </w:r>
      <w:r>
        <w:rPr>
          <w:rStyle w:val="Refdenotaalpie"/>
          <w:rFonts w:ascii="Arial" w:hAnsi="Arial" w:cs="Arial"/>
        </w:rPr>
        <w:footnoteReference w:id="22"/>
      </w:r>
      <w:r>
        <w:rPr>
          <w:rFonts w:ascii="Arial" w:hAnsi="Arial" w:cs="Arial"/>
        </w:rPr>
        <w:t>.</w:t>
      </w:r>
    </w:p>
    <w:p w:rsidR="002A12B4" w:rsidRDefault="002A12B4" w:rsidP="002A12B4">
      <w:pPr>
        <w:spacing w:line="360" w:lineRule="auto"/>
        <w:jc w:val="both"/>
        <w:rPr>
          <w:rFonts w:ascii="Arial" w:hAnsi="Arial" w:cs="Arial"/>
        </w:rPr>
      </w:pPr>
      <w:r>
        <w:rPr>
          <w:rFonts w:ascii="Arial" w:hAnsi="Arial" w:cs="Arial"/>
        </w:rPr>
        <w:t xml:space="preserve">Aunado a lo anterior, es importante mencionar que la obesidad comienza a tomar relevancia dentro de las principales causas de morbilidad a partir de los 15 años, para así estar presente a lo largo del ciclo de vida de mujeres y hombres. Por edad y sexo, la tasa más alta de obesidad en mujeres es entre los 45 y 49 años, ya que se reporta un indicador de 143.9 casos por cada 10,000; en cambio, los hombres para el mismo grupo etario reportan una tasa de 82.6 (siendo el máximo en esta población). En el caso de la diabetes mellitus Tipo II, para ambos sexos, se constituye como una de las diez principales causas de morbilidad a partir de los 45 años de edad, y con una tendencia </w:t>
      </w:r>
      <w:r w:rsidR="00422DE7">
        <w:rPr>
          <w:rFonts w:ascii="Arial" w:hAnsi="Arial" w:cs="Arial"/>
        </w:rPr>
        <w:t>al alza</w:t>
      </w:r>
      <w:r>
        <w:rPr>
          <w:rFonts w:ascii="Arial" w:hAnsi="Arial" w:cs="Arial"/>
        </w:rPr>
        <w:t xml:space="preserve"> hasta los 64 años, aunque aún está presente en el grupo más envejecido; en hombres, la tasa más alta por diabetes se reporta en el grupo etario de 64-65 años (125.1 casos), asimismo en </w:t>
      </w:r>
      <w:r w:rsidR="00422DE7">
        <w:rPr>
          <w:rFonts w:ascii="Arial" w:hAnsi="Arial" w:cs="Arial"/>
        </w:rPr>
        <w:t>mujeres,</w:t>
      </w:r>
      <w:r>
        <w:rPr>
          <w:rFonts w:ascii="Arial" w:hAnsi="Arial" w:cs="Arial"/>
        </w:rPr>
        <w:t xml:space="preserve"> pero con mayores niveles (139.8). Finalmente, la hipertensión arterial es otro padecimiento que toma relevancia en la población adulta, e igualmente, con una tendencia al alza conforme la población envejece</w:t>
      </w:r>
      <w:r>
        <w:rPr>
          <w:rStyle w:val="Refdenotaalpie"/>
          <w:rFonts w:ascii="Arial" w:hAnsi="Arial" w:cs="Arial"/>
        </w:rPr>
        <w:footnoteReference w:id="23"/>
      </w:r>
      <w:r>
        <w:rPr>
          <w:rFonts w:ascii="Arial" w:hAnsi="Arial" w:cs="Arial"/>
        </w:rPr>
        <w:t xml:space="preserve">.    </w:t>
      </w:r>
    </w:p>
    <w:p w:rsidR="002A12B4" w:rsidRPr="003D1C94" w:rsidRDefault="002A12B4" w:rsidP="002A12B4">
      <w:pPr>
        <w:spacing w:after="0" w:line="360" w:lineRule="auto"/>
        <w:jc w:val="center"/>
        <w:rPr>
          <w:rFonts w:ascii="Arial" w:hAnsi="Arial" w:cs="Arial"/>
          <w:b/>
        </w:rPr>
      </w:pPr>
      <w:r>
        <w:rPr>
          <w:rFonts w:ascii="Arial" w:hAnsi="Arial" w:cs="Arial"/>
          <w:b/>
        </w:rPr>
        <w:t>Cuadro 1</w:t>
      </w:r>
      <w:r w:rsidRPr="003D1C94">
        <w:rPr>
          <w:rFonts w:ascii="Arial" w:hAnsi="Arial" w:cs="Arial"/>
          <w:b/>
        </w:rPr>
        <w:t xml:space="preserve">. Principales causas de morbilidad en la población </w:t>
      </w:r>
      <w:r>
        <w:rPr>
          <w:rFonts w:ascii="Arial" w:hAnsi="Arial" w:cs="Arial"/>
          <w:b/>
        </w:rPr>
        <w:t xml:space="preserve">masculina de 0 a 24 </w:t>
      </w:r>
      <w:r w:rsidRPr="003D1C94">
        <w:rPr>
          <w:rFonts w:ascii="Arial" w:hAnsi="Arial" w:cs="Arial"/>
          <w:b/>
        </w:rPr>
        <w:t>años de edad en México, 2017.</w:t>
      </w:r>
    </w:p>
    <w:p w:rsidR="002A12B4" w:rsidRDefault="002A12B4" w:rsidP="002A12B4">
      <w:pPr>
        <w:spacing w:after="0" w:line="360" w:lineRule="auto"/>
        <w:jc w:val="both"/>
        <w:rPr>
          <w:rFonts w:ascii="Arial" w:hAnsi="Arial" w:cs="Arial"/>
        </w:rPr>
      </w:pPr>
      <w:r>
        <w:rPr>
          <w:noProof/>
          <w:lang w:eastAsia="es-MX"/>
        </w:rPr>
        <w:drawing>
          <wp:inline distT="0" distB="0" distL="0" distR="0" wp14:anchorId="7F4ECAB3" wp14:editId="0CC32C9E">
            <wp:extent cx="5612130" cy="2480310"/>
            <wp:effectExtent l="0" t="0" r="762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12130" cy="2480310"/>
                    </a:xfrm>
                    <a:prstGeom prst="rect">
                      <a:avLst/>
                    </a:prstGeom>
                  </pic:spPr>
                </pic:pic>
              </a:graphicData>
            </a:graphic>
          </wp:inline>
        </w:drawing>
      </w:r>
    </w:p>
    <w:p w:rsidR="002A12B4" w:rsidRPr="003D1C94" w:rsidRDefault="002A12B4" w:rsidP="002A12B4">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2A12B4" w:rsidRDefault="002A12B4" w:rsidP="002A12B4">
      <w:pPr>
        <w:spacing w:after="0" w:line="360" w:lineRule="auto"/>
        <w:jc w:val="both"/>
        <w:rPr>
          <w:rFonts w:ascii="Arial" w:hAnsi="Arial" w:cs="Arial"/>
        </w:rPr>
      </w:pPr>
    </w:p>
    <w:p w:rsidR="00E57961" w:rsidRDefault="00E57961" w:rsidP="002A12B4">
      <w:pPr>
        <w:spacing w:after="0" w:line="360" w:lineRule="auto"/>
        <w:jc w:val="center"/>
        <w:rPr>
          <w:rFonts w:ascii="Arial" w:hAnsi="Arial" w:cs="Arial"/>
          <w:b/>
        </w:rPr>
      </w:pPr>
    </w:p>
    <w:p w:rsidR="002A12B4" w:rsidRPr="003D1C94" w:rsidRDefault="002A12B4" w:rsidP="002A12B4">
      <w:pPr>
        <w:spacing w:after="0" w:line="360" w:lineRule="auto"/>
        <w:jc w:val="center"/>
        <w:rPr>
          <w:rFonts w:ascii="Arial" w:hAnsi="Arial" w:cs="Arial"/>
          <w:b/>
        </w:rPr>
      </w:pPr>
      <w:r>
        <w:rPr>
          <w:rFonts w:ascii="Arial" w:hAnsi="Arial" w:cs="Arial"/>
          <w:b/>
        </w:rPr>
        <w:lastRenderedPageBreak/>
        <w:t>Cuadro 2</w:t>
      </w:r>
      <w:r w:rsidRPr="003D1C94">
        <w:rPr>
          <w:rFonts w:ascii="Arial" w:hAnsi="Arial" w:cs="Arial"/>
          <w:b/>
        </w:rPr>
        <w:t xml:space="preserve">. Principales causas de morbilidad en la población </w:t>
      </w:r>
      <w:r>
        <w:rPr>
          <w:rFonts w:ascii="Arial" w:hAnsi="Arial" w:cs="Arial"/>
          <w:b/>
        </w:rPr>
        <w:t xml:space="preserve">masculina de 25 y más </w:t>
      </w:r>
      <w:r w:rsidRPr="003D1C94">
        <w:rPr>
          <w:rFonts w:ascii="Arial" w:hAnsi="Arial" w:cs="Arial"/>
          <w:b/>
        </w:rPr>
        <w:t>años de edad en México, 2017.</w:t>
      </w:r>
    </w:p>
    <w:p w:rsidR="002A12B4" w:rsidRDefault="002A12B4" w:rsidP="002A12B4">
      <w:pPr>
        <w:spacing w:after="0" w:line="360" w:lineRule="auto"/>
        <w:jc w:val="both"/>
        <w:rPr>
          <w:rFonts w:ascii="Arial" w:hAnsi="Arial" w:cs="Arial"/>
        </w:rPr>
      </w:pPr>
      <w:r>
        <w:rPr>
          <w:noProof/>
          <w:lang w:eastAsia="es-MX"/>
        </w:rPr>
        <w:drawing>
          <wp:inline distT="0" distB="0" distL="0" distR="0" wp14:anchorId="369358FB" wp14:editId="4DC955C5">
            <wp:extent cx="5612130" cy="2442210"/>
            <wp:effectExtent l="0" t="0" r="762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442210"/>
                    </a:xfrm>
                    <a:prstGeom prst="rect">
                      <a:avLst/>
                    </a:prstGeom>
                  </pic:spPr>
                </pic:pic>
              </a:graphicData>
            </a:graphic>
          </wp:inline>
        </w:drawing>
      </w:r>
    </w:p>
    <w:p w:rsidR="002A12B4" w:rsidRPr="003D1C94" w:rsidRDefault="002A12B4" w:rsidP="002A12B4">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2A12B4" w:rsidRDefault="002A12B4" w:rsidP="002A12B4">
      <w:pPr>
        <w:spacing w:after="0" w:line="360" w:lineRule="auto"/>
        <w:jc w:val="center"/>
        <w:rPr>
          <w:rFonts w:ascii="Arial" w:hAnsi="Arial" w:cs="Arial"/>
          <w:b/>
        </w:rPr>
      </w:pPr>
    </w:p>
    <w:p w:rsidR="002A12B4" w:rsidRPr="003D1C94" w:rsidRDefault="002A12B4" w:rsidP="002A12B4">
      <w:pPr>
        <w:spacing w:after="0" w:line="360" w:lineRule="auto"/>
        <w:jc w:val="center"/>
        <w:rPr>
          <w:rFonts w:ascii="Arial" w:hAnsi="Arial" w:cs="Arial"/>
          <w:b/>
        </w:rPr>
      </w:pPr>
      <w:r>
        <w:rPr>
          <w:rFonts w:ascii="Arial" w:hAnsi="Arial" w:cs="Arial"/>
          <w:b/>
        </w:rPr>
        <w:t>Cuadro 3</w:t>
      </w:r>
      <w:r w:rsidRPr="003D1C94">
        <w:rPr>
          <w:rFonts w:ascii="Arial" w:hAnsi="Arial" w:cs="Arial"/>
          <w:b/>
        </w:rPr>
        <w:t xml:space="preserve">. Principales causas de morbilidad en la población </w:t>
      </w:r>
      <w:r>
        <w:rPr>
          <w:rFonts w:ascii="Arial" w:hAnsi="Arial" w:cs="Arial"/>
          <w:b/>
        </w:rPr>
        <w:t xml:space="preserve">femenina de 0 a 24 </w:t>
      </w:r>
      <w:r w:rsidRPr="003D1C94">
        <w:rPr>
          <w:rFonts w:ascii="Arial" w:hAnsi="Arial" w:cs="Arial"/>
          <w:b/>
        </w:rPr>
        <w:t>años de edad en México, 2017.</w:t>
      </w:r>
    </w:p>
    <w:p w:rsidR="002A12B4" w:rsidRDefault="002A12B4" w:rsidP="002A12B4">
      <w:pPr>
        <w:spacing w:after="0" w:line="360" w:lineRule="auto"/>
        <w:jc w:val="both"/>
        <w:rPr>
          <w:rFonts w:ascii="Arial" w:hAnsi="Arial" w:cs="Arial"/>
        </w:rPr>
      </w:pPr>
      <w:r>
        <w:rPr>
          <w:noProof/>
          <w:lang w:eastAsia="es-MX"/>
        </w:rPr>
        <w:drawing>
          <wp:inline distT="0" distB="0" distL="0" distR="0" wp14:anchorId="3FEC566F" wp14:editId="68BCC16E">
            <wp:extent cx="5612130" cy="2343150"/>
            <wp:effectExtent l="0" t="0" r="762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2343150"/>
                    </a:xfrm>
                    <a:prstGeom prst="rect">
                      <a:avLst/>
                    </a:prstGeom>
                  </pic:spPr>
                </pic:pic>
              </a:graphicData>
            </a:graphic>
          </wp:inline>
        </w:drawing>
      </w:r>
    </w:p>
    <w:p w:rsidR="002A12B4" w:rsidRPr="003D1C94" w:rsidRDefault="002A12B4" w:rsidP="002A12B4">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2A12B4" w:rsidRDefault="002A12B4" w:rsidP="002A12B4">
      <w:pPr>
        <w:spacing w:line="360" w:lineRule="auto"/>
        <w:jc w:val="both"/>
        <w:rPr>
          <w:rFonts w:ascii="Arial" w:hAnsi="Arial" w:cs="Arial"/>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E57961" w:rsidRDefault="00E57961" w:rsidP="002A12B4">
      <w:pPr>
        <w:spacing w:after="0" w:line="360" w:lineRule="auto"/>
        <w:jc w:val="center"/>
        <w:rPr>
          <w:rFonts w:ascii="Arial" w:hAnsi="Arial" w:cs="Arial"/>
          <w:b/>
        </w:rPr>
      </w:pPr>
    </w:p>
    <w:p w:rsidR="002A12B4" w:rsidRPr="003D1C94" w:rsidRDefault="002A12B4" w:rsidP="002A12B4">
      <w:pPr>
        <w:spacing w:after="0" w:line="360" w:lineRule="auto"/>
        <w:jc w:val="center"/>
        <w:rPr>
          <w:rFonts w:ascii="Arial" w:hAnsi="Arial" w:cs="Arial"/>
          <w:b/>
        </w:rPr>
      </w:pPr>
      <w:r>
        <w:rPr>
          <w:rFonts w:ascii="Arial" w:hAnsi="Arial" w:cs="Arial"/>
          <w:b/>
        </w:rPr>
        <w:lastRenderedPageBreak/>
        <w:t>Cuadro 4</w:t>
      </w:r>
      <w:r w:rsidRPr="003D1C94">
        <w:rPr>
          <w:rFonts w:ascii="Arial" w:hAnsi="Arial" w:cs="Arial"/>
          <w:b/>
        </w:rPr>
        <w:t xml:space="preserve">. Principales causas de morbilidad en la población </w:t>
      </w:r>
      <w:r>
        <w:rPr>
          <w:rFonts w:ascii="Arial" w:hAnsi="Arial" w:cs="Arial"/>
          <w:b/>
        </w:rPr>
        <w:t xml:space="preserve">femenina de 25 y más </w:t>
      </w:r>
      <w:r w:rsidRPr="003D1C94">
        <w:rPr>
          <w:rFonts w:ascii="Arial" w:hAnsi="Arial" w:cs="Arial"/>
          <w:b/>
        </w:rPr>
        <w:t>años de edad en México, 2017.</w:t>
      </w:r>
    </w:p>
    <w:p w:rsidR="002A12B4" w:rsidRDefault="002A12B4" w:rsidP="002A12B4">
      <w:pPr>
        <w:spacing w:after="0" w:line="360" w:lineRule="auto"/>
        <w:jc w:val="both"/>
        <w:rPr>
          <w:rFonts w:ascii="Arial" w:hAnsi="Arial" w:cs="Arial"/>
        </w:rPr>
      </w:pPr>
      <w:r>
        <w:rPr>
          <w:noProof/>
          <w:lang w:eastAsia="es-MX"/>
        </w:rPr>
        <w:drawing>
          <wp:inline distT="0" distB="0" distL="0" distR="0" wp14:anchorId="2C558263" wp14:editId="6777D93E">
            <wp:extent cx="5612130" cy="2334895"/>
            <wp:effectExtent l="0" t="0" r="7620" b="825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12130" cy="2334895"/>
                    </a:xfrm>
                    <a:prstGeom prst="rect">
                      <a:avLst/>
                    </a:prstGeom>
                  </pic:spPr>
                </pic:pic>
              </a:graphicData>
            </a:graphic>
          </wp:inline>
        </w:drawing>
      </w:r>
    </w:p>
    <w:p w:rsidR="002A12B4" w:rsidRPr="003D1C94" w:rsidRDefault="002A12B4" w:rsidP="002A12B4">
      <w:pPr>
        <w:spacing w:after="0"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E57961" w:rsidRDefault="00E57961" w:rsidP="00E57961">
      <w:pPr>
        <w:spacing w:after="0" w:line="360" w:lineRule="auto"/>
        <w:jc w:val="both"/>
        <w:rPr>
          <w:rFonts w:ascii="Arial" w:hAnsi="Arial" w:cs="Arial"/>
        </w:rPr>
      </w:pPr>
    </w:p>
    <w:p w:rsidR="002A12B4" w:rsidRPr="005B6CA1" w:rsidRDefault="002A12B4" w:rsidP="002A12B4">
      <w:pPr>
        <w:spacing w:line="360" w:lineRule="auto"/>
        <w:jc w:val="both"/>
        <w:rPr>
          <w:rFonts w:ascii="Arial" w:hAnsi="Arial" w:cs="Arial"/>
        </w:rPr>
      </w:pPr>
      <w:r w:rsidRPr="005B6CA1">
        <w:rPr>
          <w:rFonts w:ascii="Arial" w:hAnsi="Arial" w:cs="Arial"/>
        </w:rPr>
        <w:t>A partir de lo anterior, se puede afirmar que en México el perfil de salud de la población se caracteriza por el predominio de enfermedades crónicas no transmisibles, las cuales se caracterizan por ser prolongadas, discapacitantes y muchas veces coincidentes con otras de menor a mayor gravedad, aunado a la complejidad y costo elevado de sus tratamientos</w:t>
      </w:r>
      <w:r w:rsidRPr="005B6CA1">
        <w:rPr>
          <w:rStyle w:val="Refdenotaalpie"/>
          <w:rFonts w:ascii="Arial" w:hAnsi="Arial" w:cs="Arial"/>
        </w:rPr>
        <w:footnoteReference w:id="24"/>
      </w:r>
      <w:r w:rsidRPr="005B6CA1">
        <w:rPr>
          <w:rFonts w:ascii="Arial" w:hAnsi="Arial" w:cs="Arial"/>
        </w:rPr>
        <w:t>. Asimismo, es fácil distinguir la cotidianidad de las enfermedades crónicas no transmisibles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5"/>
      </w:r>
      <w:r w:rsidRPr="005B6CA1">
        <w:rPr>
          <w:rFonts w:ascii="Arial" w:hAnsi="Arial" w:cs="Arial"/>
        </w:rPr>
        <w:t>. Sin lugar a dudas, las enfermedades crónicas no transmisibles constituyen uno de los más grandes retos que afronta el sistema de salud del país.</w:t>
      </w:r>
    </w:p>
    <w:p w:rsidR="002A12B4" w:rsidRPr="005B6CA1" w:rsidRDefault="002A12B4" w:rsidP="002A12B4">
      <w:pPr>
        <w:spacing w:line="360" w:lineRule="auto"/>
        <w:jc w:val="both"/>
        <w:rPr>
          <w:rFonts w:ascii="Arial" w:hAnsi="Arial" w:cs="Arial"/>
        </w:rPr>
      </w:pPr>
      <w:r w:rsidRPr="005B6CA1">
        <w:rPr>
          <w:rFonts w:ascii="Arial" w:hAnsi="Arial" w:cs="Arial"/>
        </w:rPr>
        <w:t xml:space="preserve">En resumen, se puede afirmar que el predominio de las ECDNT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salud es a través del índice Años de Vida Saludable Perdidos (AVISA); este indicador </w:t>
      </w:r>
      <w:r w:rsidRPr="005B6CA1">
        <w:rPr>
          <w:rFonts w:ascii="Arial" w:hAnsi="Arial" w:cs="Arial"/>
        </w:rPr>
        <w:lastRenderedPageBreak/>
        <w:t>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6"/>
      </w:r>
      <w:r w:rsidRPr="005B6CA1">
        <w:rPr>
          <w:rFonts w:ascii="Arial" w:hAnsi="Arial" w:cs="Arial"/>
        </w:rPr>
        <w:t>.</w:t>
      </w:r>
    </w:p>
    <w:p w:rsidR="002A12B4" w:rsidRDefault="002A12B4" w:rsidP="002A12B4">
      <w:pPr>
        <w:spacing w:line="360" w:lineRule="auto"/>
        <w:jc w:val="both"/>
        <w:rPr>
          <w:rFonts w:ascii="Arial" w:hAnsi="Arial" w:cs="Arial"/>
        </w:rPr>
      </w:pPr>
      <w:r>
        <w:rPr>
          <w:rFonts w:ascii="Arial" w:hAnsi="Arial" w:cs="Arial"/>
        </w:rPr>
        <w:t>El Cuadro 5</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aportan al indicador. Específicamente, las principales 5 causas del índice en mujeres fueron exclusivamente ECDNT y concentran casi el 25% de dicha carga (diabetes mellitus, enfermedades renales crónicas, isquémicas del corazón, depresión mayor y trastornos músculo esqueléticos); en hombres, las principales causas son más heterogéneas, pero éstas concentran el 30% de la carga de enfermedades en el esquema de morbimortalidad masculino. Además, la diabetes mellitus, las enfermedades renales crónicas y las enfermedades isquémicas del corazón constituyen el 16% de la carga de años </w:t>
      </w:r>
      <w:r>
        <w:rPr>
          <w:rFonts w:ascii="Arial" w:hAnsi="Arial" w:cs="Arial"/>
        </w:rPr>
        <w:t>AVISA</w:t>
      </w:r>
      <w:r w:rsidRPr="005B6CA1">
        <w:rPr>
          <w:rFonts w:ascii="Arial" w:hAnsi="Arial" w:cs="Arial"/>
        </w:rPr>
        <w:t xml:space="preserve"> en México. Finalmente, también destaca que diversos tipos de dolor también son de las </w:t>
      </w:r>
      <w:r w:rsidR="00A14A4A"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2A12B4" w:rsidRPr="005968A3" w:rsidRDefault="002A12B4" w:rsidP="002A12B4">
      <w:pPr>
        <w:spacing w:line="360" w:lineRule="auto"/>
        <w:jc w:val="center"/>
        <w:rPr>
          <w:rFonts w:ascii="Arial" w:hAnsi="Arial" w:cs="Arial"/>
          <w:b/>
        </w:rPr>
      </w:pPr>
      <w:r>
        <w:rPr>
          <w:rFonts w:ascii="Arial" w:hAnsi="Arial" w:cs="Arial"/>
          <w:b/>
        </w:rPr>
        <w:t>Cuadro 5</w:t>
      </w:r>
      <w:r w:rsidRPr="005968A3">
        <w:rPr>
          <w:rFonts w:ascii="Arial" w:hAnsi="Arial" w:cs="Arial"/>
          <w:b/>
        </w:rPr>
        <w:t>. Principales causas de Años de Vida Saludable Perdidos (AVISA) en México por sexo, 2010.</w:t>
      </w:r>
    </w:p>
    <w:tbl>
      <w:tblPr>
        <w:tblStyle w:val="Sombreadoclaro"/>
        <w:tblW w:w="8868" w:type="dxa"/>
        <w:tblLook w:val="04A0" w:firstRow="1" w:lastRow="0" w:firstColumn="1" w:lastColumn="0" w:noHBand="0" w:noVBand="1"/>
      </w:tblPr>
      <w:tblGrid>
        <w:gridCol w:w="1153"/>
        <w:gridCol w:w="2349"/>
        <w:gridCol w:w="1153"/>
        <w:gridCol w:w="3060"/>
        <w:gridCol w:w="1153"/>
      </w:tblGrid>
      <w:tr w:rsidR="002A12B4" w:rsidRPr="005B6CA1" w:rsidTr="002A12B4">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153" w:type="dxa"/>
            <w:noWrap/>
            <w:hideMark/>
          </w:tcPr>
          <w:p w:rsidR="002A12B4" w:rsidRPr="005B6CA1" w:rsidRDefault="002A12B4" w:rsidP="002A12B4">
            <w:pPr>
              <w:spacing w:line="360" w:lineRule="auto"/>
              <w:rPr>
                <w:rFonts w:ascii="Arial" w:eastAsia="Times New Roman" w:hAnsi="Arial" w:cs="Arial"/>
                <w:color w:val="000000"/>
                <w:sz w:val="18"/>
                <w:lang w:eastAsia="es-MX"/>
              </w:rPr>
            </w:pPr>
            <w:r w:rsidRPr="005B6CA1">
              <w:rPr>
                <w:rFonts w:ascii="Arial" w:eastAsia="Times New Roman" w:hAnsi="Arial" w:cs="Arial"/>
                <w:color w:val="000000"/>
                <w:sz w:val="18"/>
                <w:lang w:eastAsia="es-MX"/>
              </w:rPr>
              <w:t>Orden</w:t>
            </w:r>
          </w:p>
        </w:tc>
        <w:tc>
          <w:tcPr>
            <w:tcW w:w="2349" w:type="dxa"/>
            <w:noWrap/>
            <w:hideMark/>
          </w:tcPr>
          <w:p w:rsidR="002A12B4" w:rsidRPr="005B6CA1" w:rsidRDefault="002A12B4" w:rsidP="002A12B4">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Mujeres</w:t>
            </w:r>
          </w:p>
        </w:tc>
        <w:tc>
          <w:tcPr>
            <w:tcW w:w="1153" w:type="dxa"/>
            <w:noWrap/>
            <w:hideMark/>
          </w:tcPr>
          <w:p w:rsidR="002A12B4" w:rsidRPr="005B6CA1" w:rsidRDefault="002A12B4" w:rsidP="002A12B4">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c>
          <w:tcPr>
            <w:tcW w:w="3060" w:type="dxa"/>
            <w:noWrap/>
            <w:hideMark/>
          </w:tcPr>
          <w:p w:rsidR="002A12B4" w:rsidRPr="005B6CA1" w:rsidRDefault="002A12B4" w:rsidP="002A12B4">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Hombres</w:t>
            </w:r>
          </w:p>
        </w:tc>
        <w:tc>
          <w:tcPr>
            <w:tcW w:w="1153" w:type="dxa"/>
            <w:noWrap/>
            <w:hideMark/>
          </w:tcPr>
          <w:p w:rsidR="002A12B4" w:rsidRPr="005B6CA1" w:rsidRDefault="002A12B4" w:rsidP="002A12B4">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AVISA</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801,948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Homicidios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932,438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580,386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894,598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3</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isquémica del corazón</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537,422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814,187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4</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441,950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Diabetes mellitus</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812,538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5</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Trastornos musculo </w:t>
            </w:r>
            <w:r w:rsidRPr="005B6CA1">
              <w:rPr>
                <w:rFonts w:ascii="Arial" w:eastAsia="Times New Roman" w:hAnsi="Arial" w:cs="Arial"/>
                <w:color w:val="000000"/>
                <w:sz w:val="18"/>
                <w:lang w:eastAsia="es-MX"/>
              </w:rPr>
              <w:lastRenderedPageBreak/>
              <w:t>esqueléticos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 xml:space="preserve">        </w:t>
            </w:r>
            <w:r w:rsidRPr="005B6CA1">
              <w:rPr>
                <w:rFonts w:ascii="Arial" w:eastAsia="Times New Roman" w:hAnsi="Arial" w:cs="Arial"/>
                <w:color w:val="000000"/>
                <w:sz w:val="18"/>
                <w:lang w:eastAsia="es-MX"/>
              </w:rPr>
              <w:lastRenderedPageBreak/>
              <w:t xml:space="preserve">387,856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Cirrosis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w:t>
            </w:r>
            <w:r w:rsidRPr="005B6CA1">
              <w:rPr>
                <w:rFonts w:ascii="Arial" w:eastAsia="Times New Roman" w:hAnsi="Arial" w:cs="Arial"/>
                <w:color w:val="000000"/>
                <w:sz w:val="18"/>
                <w:lang w:eastAsia="es-MX"/>
              </w:rPr>
              <w:lastRenderedPageBreak/>
              <w:t xml:space="preserve">796,489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lastRenderedPageBreak/>
              <w:t>6</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366,750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renal crónica</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618,985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7</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356,554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428,701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8</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320,421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Anomalías congénitas</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406,955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9</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Inf. respiratorias bajas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314,593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Lumbalgia</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394,862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10</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291,145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365,074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11</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Prematurez</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251,398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Cerebrovascular</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350,028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12</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Accidentes de tráfico</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236,065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alcohol</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310,684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13</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Cirrosis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232,591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259,592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14</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Migraña</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222,266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Depresión mayor</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258,296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15</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EPOC</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206,658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por consumo de drogas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228,205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16</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Trastornos de ansiedad</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208,398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Dolor de cuello</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219,786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17</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Osteoartritis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196,425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212,313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18</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183,163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Epilepsia</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202,080 </w:t>
            </w:r>
          </w:p>
        </w:tc>
      </w:tr>
      <w:tr w:rsidR="002A12B4" w:rsidRPr="005B6CA1" w:rsidTr="002A12B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19</w:t>
            </w:r>
          </w:p>
        </w:tc>
        <w:tc>
          <w:tcPr>
            <w:tcW w:w="2349"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Enf. Diarreicas</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174,534 </w:t>
            </w:r>
          </w:p>
        </w:tc>
        <w:tc>
          <w:tcPr>
            <w:tcW w:w="3060"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Suicidio</w:t>
            </w:r>
          </w:p>
        </w:tc>
        <w:tc>
          <w:tcPr>
            <w:tcW w:w="1153" w:type="dxa"/>
            <w:noWrap/>
            <w:hideMark/>
          </w:tcPr>
          <w:p w:rsidR="002A12B4" w:rsidRPr="005B6CA1" w:rsidRDefault="002A12B4" w:rsidP="002A12B4">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198,734 </w:t>
            </w:r>
          </w:p>
        </w:tc>
      </w:tr>
      <w:tr w:rsidR="002A12B4" w:rsidRPr="005B6CA1" w:rsidTr="002A12B4">
        <w:trPr>
          <w:trHeight w:val="300"/>
        </w:trPr>
        <w:tc>
          <w:tcPr>
            <w:cnfStyle w:val="001000000000" w:firstRow="0" w:lastRow="0" w:firstColumn="1" w:lastColumn="0" w:oddVBand="0" w:evenVBand="0" w:oddHBand="0" w:evenHBand="0" w:firstRowFirstColumn="0" w:firstRowLastColumn="0" w:lastRowFirstColumn="0" w:lastRowLastColumn="0"/>
            <w:tcW w:w="1153" w:type="dxa"/>
            <w:noWrap/>
            <w:vAlign w:val="center"/>
            <w:hideMark/>
          </w:tcPr>
          <w:p w:rsidR="002A12B4" w:rsidRPr="005B6CA1" w:rsidRDefault="002A12B4" w:rsidP="002A12B4">
            <w:pPr>
              <w:spacing w:line="360" w:lineRule="auto"/>
              <w:jc w:val="center"/>
              <w:rPr>
                <w:rFonts w:ascii="Arial" w:eastAsia="Times New Roman" w:hAnsi="Arial" w:cs="Arial"/>
                <w:color w:val="000000"/>
                <w:sz w:val="18"/>
                <w:lang w:eastAsia="es-MX"/>
              </w:rPr>
            </w:pPr>
            <w:r w:rsidRPr="005B6CA1">
              <w:rPr>
                <w:rFonts w:ascii="Arial" w:eastAsia="Times New Roman" w:hAnsi="Arial" w:cs="Arial"/>
                <w:color w:val="000000"/>
                <w:sz w:val="18"/>
                <w:lang w:eastAsia="es-MX"/>
              </w:rPr>
              <w:t>20</w:t>
            </w:r>
          </w:p>
        </w:tc>
        <w:tc>
          <w:tcPr>
            <w:tcW w:w="2349"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Encefalopatía neonatal</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162,865 </w:t>
            </w:r>
          </w:p>
        </w:tc>
        <w:tc>
          <w:tcPr>
            <w:tcW w:w="3060"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Caídas</w:t>
            </w:r>
          </w:p>
        </w:tc>
        <w:tc>
          <w:tcPr>
            <w:tcW w:w="1153" w:type="dxa"/>
            <w:noWrap/>
            <w:hideMark/>
          </w:tcPr>
          <w:p w:rsidR="002A12B4" w:rsidRPr="005B6CA1" w:rsidRDefault="002A12B4" w:rsidP="002A12B4">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lang w:eastAsia="es-MX"/>
              </w:rPr>
            </w:pPr>
            <w:r w:rsidRPr="005B6CA1">
              <w:rPr>
                <w:rFonts w:ascii="Arial" w:eastAsia="Times New Roman" w:hAnsi="Arial" w:cs="Arial"/>
                <w:color w:val="000000"/>
                <w:sz w:val="18"/>
                <w:lang w:eastAsia="es-MX"/>
              </w:rPr>
              <w:t xml:space="preserve">        192,500 </w:t>
            </w:r>
          </w:p>
        </w:tc>
      </w:tr>
    </w:tbl>
    <w:p w:rsidR="002A12B4" w:rsidRPr="00FD4BFF" w:rsidRDefault="00B43466" w:rsidP="002A12B4">
      <w:pPr>
        <w:spacing w:line="360" w:lineRule="auto"/>
        <w:ind w:firstLine="708"/>
        <w:jc w:val="both"/>
        <w:rPr>
          <w:rFonts w:ascii="Arial" w:hAnsi="Arial" w:cs="Arial"/>
          <w:sz w:val="18"/>
        </w:rPr>
      </w:pPr>
      <w:r>
        <w:rPr>
          <w:rFonts w:ascii="Arial" w:hAnsi="Arial" w:cs="Arial"/>
          <w:b/>
          <w:sz w:val="18"/>
        </w:rPr>
        <w:t xml:space="preserve">                          </w:t>
      </w:r>
      <w:r w:rsidR="002A12B4" w:rsidRPr="00FD4BFF">
        <w:rPr>
          <w:rFonts w:ascii="Arial" w:hAnsi="Arial" w:cs="Arial"/>
          <w:b/>
          <w:sz w:val="18"/>
        </w:rPr>
        <w:t>Fuente:</w:t>
      </w:r>
      <w:r w:rsidR="002A12B4" w:rsidRPr="00FD4BFF">
        <w:rPr>
          <w:rFonts w:ascii="Arial" w:hAnsi="Arial" w:cs="Arial"/>
          <w:sz w:val="18"/>
        </w:rPr>
        <w:t xml:space="preserve"> Elaboración propia con base en Lozano </w:t>
      </w:r>
      <w:r w:rsidR="00D61936">
        <w:rPr>
          <w:rFonts w:ascii="Arial" w:hAnsi="Arial" w:cs="Arial"/>
          <w:i/>
          <w:sz w:val="18"/>
        </w:rPr>
        <w:t>et</w:t>
      </w:r>
      <w:r w:rsidR="002A12B4" w:rsidRPr="00FD4BFF">
        <w:rPr>
          <w:rFonts w:ascii="Arial" w:hAnsi="Arial" w:cs="Arial"/>
          <w:i/>
          <w:sz w:val="18"/>
        </w:rPr>
        <w:t xml:space="preserve"> al.</w:t>
      </w:r>
      <w:r w:rsidR="002A12B4" w:rsidRPr="00FD4BFF">
        <w:rPr>
          <w:rFonts w:ascii="Arial" w:hAnsi="Arial" w:cs="Arial"/>
          <w:sz w:val="18"/>
        </w:rPr>
        <w:t xml:space="preserve"> (2013).</w:t>
      </w:r>
    </w:p>
    <w:p w:rsidR="002A12B4" w:rsidRDefault="002A12B4" w:rsidP="002A12B4">
      <w:pPr>
        <w:spacing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A14A4A"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w:t>
      </w:r>
    </w:p>
    <w:p w:rsidR="002A12B4" w:rsidRDefault="002A12B4" w:rsidP="002A12B4">
      <w:pPr>
        <w:spacing w:line="360" w:lineRule="auto"/>
        <w:jc w:val="both"/>
        <w:rPr>
          <w:rFonts w:ascii="Arial" w:hAnsi="Arial" w:cs="Arial"/>
          <w:b/>
        </w:rPr>
      </w:pPr>
      <w:r w:rsidRPr="005B6CA1">
        <w:rPr>
          <w:rFonts w:ascii="Arial" w:hAnsi="Arial" w:cs="Arial"/>
          <w:b/>
        </w:rPr>
        <w:lastRenderedPageBreak/>
        <w:t>2.</w:t>
      </w:r>
      <w:r>
        <w:rPr>
          <w:rFonts w:ascii="Arial" w:hAnsi="Arial" w:cs="Arial"/>
          <w:b/>
        </w:rPr>
        <w:t>4</w:t>
      </w:r>
      <w:r w:rsidRPr="005B6CA1">
        <w:rPr>
          <w:rFonts w:ascii="Arial" w:hAnsi="Arial" w:cs="Arial"/>
          <w:b/>
        </w:rPr>
        <w:t xml:space="preserve"> </w:t>
      </w:r>
      <w:r>
        <w:rPr>
          <w:rFonts w:ascii="Arial" w:hAnsi="Arial" w:cs="Arial"/>
          <w:b/>
        </w:rPr>
        <w:t>MORTALIDAD</w:t>
      </w:r>
      <w:r w:rsidRPr="005B6CA1">
        <w:rPr>
          <w:rFonts w:ascii="Arial" w:hAnsi="Arial" w:cs="Arial"/>
          <w:b/>
        </w:rPr>
        <w:t xml:space="preserve"> </w:t>
      </w:r>
    </w:p>
    <w:p w:rsidR="002A12B4" w:rsidRPr="005B6CA1" w:rsidRDefault="002A12B4" w:rsidP="002A12B4">
      <w:pPr>
        <w:spacing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7"/>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8"/>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2A12B4" w:rsidRPr="005B6CA1" w:rsidRDefault="002A12B4" w:rsidP="002A12B4">
      <w:pPr>
        <w:spacing w:line="360" w:lineRule="auto"/>
        <w:jc w:val="both"/>
        <w:rPr>
          <w:rFonts w:ascii="Arial" w:hAnsi="Arial" w:cs="Arial"/>
        </w:rPr>
      </w:pPr>
      <w:r w:rsidRPr="005B6CA1">
        <w:rPr>
          <w:rFonts w:ascii="Arial" w:hAnsi="Arial" w:cs="Arial"/>
        </w:rPr>
        <w:t>En cuanto al esquema de mortalidad por causas, este resulta complejo, pues las enfermedades crónicas degenerativas no transmisibles (ECNT) y las lesiones tienen una alta importancia tanto en términos absolutos como relativos; aunque los padecimientos infectocontagiosos han perdido el predominio que tenían en el pasado, aún mantienen un 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mentales, consumo de sustancias nocivas, hábitos de alimentación poco saludable y sedentarismo</w:t>
      </w:r>
      <w:r w:rsidRPr="005B6CA1">
        <w:rPr>
          <w:rStyle w:val="Refdenotaalpie"/>
          <w:rFonts w:ascii="Arial" w:hAnsi="Arial" w:cs="Arial"/>
        </w:rPr>
        <w:footnoteReference w:id="29"/>
      </w:r>
      <w:r w:rsidRPr="005B6CA1">
        <w:rPr>
          <w:rFonts w:ascii="Arial" w:hAnsi="Arial" w:cs="Arial"/>
        </w:rPr>
        <w:t>.</w:t>
      </w:r>
    </w:p>
    <w:p w:rsidR="002A12B4" w:rsidRPr="005B6CA1" w:rsidRDefault="002A12B4" w:rsidP="002A12B4">
      <w:pPr>
        <w:spacing w:line="360" w:lineRule="auto"/>
        <w:jc w:val="both"/>
        <w:rPr>
          <w:rFonts w:ascii="Arial" w:hAnsi="Arial" w:cs="Arial"/>
        </w:rPr>
      </w:pPr>
      <w:r w:rsidRPr="005B6CA1">
        <w:rPr>
          <w:rFonts w:ascii="Arial" w:hAnsi="Arial" w:cs="Arial"/>
        </w:rPr>
        <w:t>Para los grupos</w:t>
      </w:r>
      <w:r>
        <w:rPr>
          <w:rFonts w:ascii="Arial" w:hAnsi="Arial" w:cs="Arial"/>
        </w:rPr>
        <w:t xml:space="preserve"> etarios más jóvenes (0-14 años, Cuadro 1.1 y 2.1)</w:t>
      </w:r>
      <w:r w:rsidRPr="005B6CA1">
        <w:rPr>
          <w:rFonts w:ascii="Arial" w:hAnsi="Arial" w:cs="Arial"/>
        </w:rPr>
        <w:t>, las afecciones perinatales, las malformaciones congénitas, las lesiones (en especial los accidentes de transporte) y las enfermedades infectocontagiosas son las primeras causas de muerte para dicha población; aunque el esquema por causas es similar para ambos sexos, se observa que los hombres tienen mayores tasas de mortalidad que las mujeres. Por otro lado, en la población de ado</w:t>
      </w:r>
      <w:r>
        <w:rPr>
          <w:rFonts w:ascii="Arial" w:hAnsi="Arial" w:cs="Arial"/>
        </w:rPr>
        <w:t>lescentes y jóvenes (15-24 años, Cuadro 1.1 y 2.1)</w:t>
      </w:r>
      <w:r w:rsidRPr="005B6CA1">
        <w:rPr>
          <w:rFonts w:ascii="Arial" w:hAnsi="Arial" w:cs="Arial"/>
        </w:rPr>
        <w:t xml:space="preserve"> se da una fuerte modificación en la etiología de las causas de muerte; para ambos sexos, las principales causas de defunción son causas externas como agresiones, accidentes de transporte, lesiones </w:t>
      </w:r>
      <w:r w:rsidR="00A14A4A" w:rsidRPr="005B6CA1">
        <w:rPr>
          <w:rFonts w:ascii="Arial" w:hAnsi="Arial" w:cs="Arial"/>
        </w:rPr>
        <w:t>auto infligidas</w:t>
      </w:r>
      <w:r w:rsidRPr="005B6CA1">
        <w:rPr>
          <w:rFonts w:ascii="Arial" w:hAnsi="Arial" w:cs="Arial"/>
        </w:rPr>
        <w:t xml:space="preserve"> intencionalmente y demás causas externas. Asimismo, en este grupo etario la tendencia de la sobremortalidad masculina se hace aún más evidente; por ejemplo, la primera causa de muerte para esta población son agresiones, </w:t>
      </w:r>
      <w:r w:rsidRPr="005B6CA1">
        <w:rPr>
          <w:rFonts w:ascii="Arial" w:hAnsi="Arial" w:cs="Arial"/>
        </w:rPr>
        <w:lastRenderedPageBreak/>
        <w:t>pero la tasa de los hombres es 5.53 defunciones por cada 10,000, en cambio, el indicador de</w:t>
      </w:r>
      <w:r>
        <w:rPr>
          <w:rFonts w:ascii="Arial" w:hAnsi="Arial" w:cs="Arial"/>
        </w:rPr>
        <w:t xml:space="preserve"> mujeres es de tan sólo de 0.74</w:t>
      </w:r>
      <w:r w:rsidRPr="005B6CA1">
        <w:rPr>
          <w:rStyle w:val="Refdenotaalpie"/>
          <w:rFonts w:ascii="Arial" w:hAnsi="Arial" w:cs="Arial"/>
        </w:rPr>
        <w:footnoteReference w:id="30"/>
      </w:r>
      <w:r w:rsidRPr="005B6CA1">
        <w:rPr>
          <w:rFonts w:ascii="Arial" w:hAnsi="Arial" w:cs="Arial"/>
        </w:rPr>
        <w:t xml:space="preserve">.  </w:t>
      </w:r>
    </w:p>
    <w:p w:rsidR="002A12B4" w:rsidRPr="005B6CA1" w:rsidRDefault="002A12B4" w:rsidP="002A12B4">
      <w:pPr>
        <w:spacing w:line="360" w:lineRule="auto"/>
        <w:jc w:val="both"/>
        <w:rPr>
          <w:rFonts w:ascii="Arial" w:hAnsi="Arial" w:cs="Arial"/>
        </w:rPr>
      </w:pPr>
      <w:r w:rsidRPr="005B6CA1">
        <w:rPr>
          <w:rFonts w:ascii="Arial" w:hAnsi="Arial" w:cs="Arial"/>
        </w:rPr>
        <w:t>En la población adulta joven (25-44 años</w:t>
      </w:r>
      <w:r>
        <w:rPr>
          <w:rFonts w:ascii="Arial" w:hAnsi="Arial" w:cs="Arial"/>
        </w:rPr>
        <w:t>, Cuadro 1.2 y 2.2</w:t>
      </w:r>
      <w:r w:rsidRPr="005B6CA1">
        <w:rPr>
          <w:rFonts w:ascii="Arial" w:hAnsi="Arial" w:cs="Arial"/>
        </w:rPr>
        <w:t>), las ECNT comienzan a tomar importancia en el esquema de la mortalidad de la población mexicana, las cuales se conjugan con las causas externas. Específicamente, los hombres tienen un exceso de mortalidad, y por causas, las agresiones representan la primer</w:t>
      </w:r>
      <w:r w:rsidR="00A14A4A">
        <w:rPr>
          <w:rFonts w:ascii="Arial" w:hAnsi="Arial" w:cs="Arial"/>
        </w:rPr>
        <w:t>a</w:t>
      </w:r>
      <w:r w:rsidRPr="005B6CA1">
        <w:rPr>
          <w:rFonts w:ascii="Arial" w:hAnsi="Arial" w:cs="Arial"/>
        </w:rPr>
        <w:t xml:space="preserve"> causa de muerte (8.44 defunciones), le siguen las enfermedades del hígado (2.87 defunciones) y accidentes de transporte (2.83 defunciones). Las enfermedades isquémicas del corazón y la diabetes comienzan a tomar relevancia dentro del esquema de mortalidad. También destaca que las enfermedades por VIH son la séptima causa de muerte para la población masculina en dichas edades (1.33 defunciones). En cambio, para la población femenina, la principal causa de muerte es la diabetes (1.01 defunciones), le siguen las agresiones (0.78 defunciones) y los tumores malignos de la mama (0.54 defunciones); las enfermedades del sistema genitourinario tiene una marcada relevancia en la mortalidad por causas de la población femenina, pues representan la séptima causa (0.40 defunciones)</w:t>
      </w:r>
      <w:r w:rsidRPr="005B6CA1">
        <w:rPr>
          <w:rStyle w:val="Refdenotaalpie"/>
          <w:rFonts w:ascii="Arial" w:hAnsi="Arial" w:cs="Arial"/>
        </w:rPr>
        <w:footnoteReference w:id="31"/>
      </w:r>
      <w:r w:rsidRPr="005B6CA1">
        <w:rPr>
          <w:rFonts w:ascii="Arial" w:hAnsi="Arial" w:cs="Arial"/>
        </w:rPr>
        <w:t xml:space="preserve">. </w:t>
      </w:r>
    </w:p>
    <w:p w:rsidR="002A12B4" w:rsidRPr="005B6CA1" w:rsidRDefault="002A12B4" w:rsidP="002A12B4">
      <w:pPr>
        <w:spacing w:line="360" w:lineRule="auto"/>
        <w:jc w:val="both"/>
        <w:rPr>
          <w:rFonts w:ascii="Arial" w:hAnsi="Arial" w:cs="Arial"/>
        </w:rPr>
      </w:pPr>
      <w:r w:rsidRPr="005B6CA1">
        <w:rPr>
          <w:rFonts w:ascii="Arial" w:hAnsi="Arial" w:cs="Arial"/>
        </w:rPr>
        <w:t>Para la población de adultos maduros (45-64 años</w:t>
      </w:r>
      <w:r>
        <w:rPr>
          <w:rFonts w:ascii="Arial" w:hAnsi="Arial" w:cs="Arial"/>
        </w:rPr>
        <w:t>, Cuadro 1.2 y 2.2</w:t>
      </w:r>
      <w:r w:rsidRPr="005B6CA1">
        <w:rPr>
          <w:rFonts w:ascii="Arial" w:hAnsi="Arial" w:cs="Arial"/>
        </w:rPr>
        <w:t>), las ECNT se posicionan como las primeras causas de muerte para ambos sexos. La diabetes es la primera causa de defunción tanto en hombres como en mujeres (17.04 y 13.26 defunciones por cada 10,000 habitantes, respectivamente). Le siguen las enfermedades del hígado (12.15 defunciones en hombres y 3.13 en mujeres) e isquémicas del corazón (11.83 y 4.78 defunciones en hombres y mujeres, respectivamente). Además, en este grupo etario las muertes por causas externar comienzan a perder peso en el esquema, en el caso de los hombres las agresiones y los accidentes de tránsito representan la cuarta y octava causa (4.24 y 2.57 defunciones, respectivamente). Para los adultos mayores en la tercera edad (65-74 años), el esquema de mortalidad por causas es una continuación del patrón predominante del grupo etario joven adyacente. La alta mortalidad por ECNT en este grupo etario –como la diabetes– representa la continuación de procesos y estilos de vida anteriores a alcanzar dichas edades, siendo la muerte el desenlace final de la enfermedad y de la propia vejez</w:t>
      </w:r>
      <w:r w:rsidRPr="005B6CA1">
        <w:rPr>
          <w:rStyle w:val="Refdenotaalpie"/>
          <w:rFonts w:ascii="Arial" w:hAnsi="Arial" w:cs="Arial"/>
        </w:rPr>
        <w:footnoteReference w:id="32"/>
      </w:r>
      <w:r w:rsidRPr="005B6CA1">
        <w:rPr>
          <w:rFonts w:ascii="Arial" w:hAnsi="Arial" w:cs="Arial"/>
        </w:rPr>
        <w:t>.</w:t>
      </w:r>
    </w:p>
    <w:p w:rsidR="002A12B4" w:rsidRPr="005B6CA1" w:rsidRDefault="002A12B4" w:rsidP="002A12B4">
      <w:pPr>
        <w:spacing w:line="360" w:lineRule="auto"/>
        <w:jc w:val="both"/>
        <w:rPr>
          <w:rFonts w:ascii="Arial" w:hAnsi="Arial" w:cs="Arial"/>
        </w:rPr>
      </w:pPr>
      <w:r w:rsidRPr="005B6CA1">
        <w:rPr>
          <w:rFonts w:ascii="Arial" w:hAnsi="Arial" w:cs="Arial"/>
        </w:rPr>
        <w:lastRenderedPageBreak/>
        <w:t>Finalmente, la población más envejecida (75 y más años, la cuarta edad</w:t>
      </w:r>
      <w:r>
        <w:rPr>
          <w:rFonts w:ascii="Arial" w:hAnsi="Arial" w:cs="Arial"/>
        </w:rPr>
        <w:t>, Cuadro 1.2 y 2.2</w:t>
      </w:r>
      <w:r w:rsidRPr="005B6CA1">
        <w:rPr>
          <w:rFonts w:ascii="Arial" w:hAnsi="Arial" w:cs="Arial"/>
        </w:rPr>
        <w:t>), las enfermedades isquémicas del corazón son la primer</w:t>
      </w:r>
      <w:r w:rsidR="00A14A4A">
        <w:rPr>
          <w:rFonts w:ascii="Arial" w:hAnsi="Arial" w:cs="Arial"/>
        </w:rPr>
        <w:t>a</w:t>
      </w:r>
      <w:r w:rsidRPr="005B6CA1">
        <w:rPr>
          <w:rFonts w:ascii="Arial" w:hAnsi="Arial" w:cs="Arial"/>
        </w:rPr>
        <w:t xml:space="preserve"> causa de mortalidad con tasas de 181 y 155 defunciones en hombres y mujeres, respectivamente. En cambio, la diabetes se constituye como la segunda causa de muerte tanto en hombres como en mujeres. Es importante notar que en las edades más altas se observan principalmente enfermedades del sistema circulatorio y enfermedades del sistema respiratorio</w:t>
      </w:r>
      <w:r w:rsidRPr="005B6CA1">
        <w:rPr>
          <w:rStyle w:val="Refdenotaalpie"/>
          <w:rFonts w:ascii="Arial" w:hAnsi="Arial" w:cs="Arial"/>
        </w:rPr>
        <w:footnoteReference w:id="33"/>
      </w:r>
      <w:r w:rsidRPr="005B6CA1">
        <w:rPr>
          <w:rFonts w:ascii="Arial" w:hAnsi="Arial" w:cs="Arial"/>
        </w:rPr>
        <w:t xml:space="preserve">. No obstante, en vistas de transcender la perspectiva homogénea en las edades avanzadas, en este grupo etario subyace una propia estructura de mortalidad debido, principalmente, a </w:t>
      </w:r>
      <w:r w:rsidR="00A14A4A" w:rsidRPr="005B6CA1">
        <w:rPr>
          <w:rFonts w:ascii="Arial" w:hAnsi="Arial" w:cs="Arial"/>
        </w:rPr>
        <w:t>que,</w:t>
      </w:r>
      <w:r w:rsidRPr="005B6CA1">
        <w:rPr>
          <w:rFonts w:ascii="Arial" w:hAnsi="Arial" w:cs="Arial"/>
        </w:rPr>
        <w:t xml:space="preserve"> en los adultos mayores, los padecimientos crónicos persisten durante mayor tiempo en el organismo, ya que los períodos de latencia de las enfermedades y a los cambios propios del proceso de envejecer, siendo la mortalidad la última manifestación del estado de salud.</w:t>
      </w:r>
    </w:p>
    <w:p w:rsidR="002A12B4" w:rsidRPr="005B6CA1" w:rsidRDefault="002A12B4" w:rsidP="002A12B4">
      <w:pPr>
        <w:spacing w:after="0" w:line="240" w:lineRule="auto"/>
        <w:jc w:val="center"/>
        <w:rPr>
          <w:rFonts w:ascii="Arial" w:hAnsi="Arial" w:cs="Arial"/>
          <w:b/>
        </w:rPr>
      </w:pPr>
      <w:r>
        <w:rPr>
          <w:rFonts w:ascii="Arial" w:hAnsi="Arial" w:cs="Arial"/>
          <w:b/>
        </w:rPr>
        <w:t>Cuadro 6.</w:t>
      </w:r>
      <w:r w:rsidRPr="005B6CA1">
        <w:rPr>
          <w:rFonts w:ascii="Arial" w:hAnsi="Arial" w:cs="Arial"/>
          <w:b/>
        </w:rPr>
        <w:t xml:space="preserve"> Principales causas de mortalidad para </w:t>
      </w:r>
      <w:r>
        <w:rPr>
          <w:rFonts w:ascii="Arial" w:hAnsi="Arial" w:cs="Arial"/>
          <w:b/>
        </w:rPr>
        <w:t>la población masculina de 0 a 24 años en México</w:t>
      </w:r>
      <w:r w:rsidRPr="005B6CA1">
        <w:rPr>
          <w:rFonts w:ascii="Arial" w:hAnsi="Arial" w:cs="Arial"/>
          <w:b/>
        </w:rPr>
        <w:t>, 2017.</w:t>
      </w:r>
    </w:p>
    <w:p w:rsidR="002A12B4" w:rsidRPr="005B6CA1" w:rsidRDefault="002A12B4" w:rsidP="002A12B4">
      <w:pPr>
        <w:spacing w:after="0" w:line="240" w:lineRule="auto"/>
        <w:jc w:val="center"/>
        <w:rPr>
          <w:rFonts w:ascii="Arial" w:hAnsi="Arial" w:cs="Arial"/>
          <w:b/>
        </w:rPr>
      </w:pPr>
      <w:r w:rsidRPr="005B6CA1">
        <w:rPr>
          <w:rFonts w:ascii="Arial" w:hAnsi="Arial" w:cs="Arial"/>
          <w:noProof/>
          <w:lang w:eastAsia="es-MX"/>
        </w:rPr>
        <w:drawing>
          <wp:inline distT="0" distB="0" distL="0" distR="0" wp14:anchorId="261E4BEB" wp14:editId="73532C8B">
            <wp:extent cx="4743819" cy="3600000"/>
            <wp:effectExtent l="0" t="0" r="0" b="63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3819" cy="3600000"/>
                    </a:xfrm>
                    <a:prstGeom prst="rect">
                      <a:avLst/>
                    </a:prstGeom>
                  </pic:spPr>
                </pic:pic>
              </a:graphicData>
            </a:graphic>
          </wp:inline>
        </w:drawing>
      </w:r>
    </w:p>
    <w:p w:rsidR="002A12B4" w:rsidRPr="00845BFF" w:rsidRDefault="002A12B4" w:rsidP="002A12B4">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 INEGI (2019).</w:t>
      </w:r>
      <w:r w:rsidRPr="00845BFF">
        <w:rPr>
          <w:rFonts w:ascii="Arial" w:hAnsi="Arial" w:cs="Arial"/>
          <w:b/>
          <w:sz w:val="18"/>
        </w:rPr>
        <w:t xml:space="preserve"> </w:t>
      </w:r>
    </w:p>
    <w:p w:rsidR="00E57961" w:rsidRDefault="00E57961" w:rsidP="002A12B4">
      <w:pPr>
        <w:spacing w:after="0" w:line="240" w:lineRule="auto"/>
        <w:jc w:val="center"/>
        <w:rPr>
          <w:rFonts w:ascii="Arial" w:hAnsi="Arial" w:cs="Arial"/>
          <w:b/>
        </w:rPr>
      </w:pPr>
    </w:p>
    <w:p w:rsidR="00E57961" w:rsidRDefault="00E57961" w:rsidP="002A12B4">
      <w:pPr>
        <w:spacing w:after="0" w:line="240" w:lineRule="auto"/>
        <w:jc w:val="center"/>
        <w:rPr>
          <w:rFonts w:ascii="Arial" w:hAnsi="Arial" w:cs="Arial"/>
          <w:b/>
        </w:rPr>
      </w:pPr>
    </w:p>
    <w:p w:rsidR="00E57961" w:rsidRDefault="00E57961" w:rsidP="002A12B4">
      <w:pPr>
        <w:spacing w:after="0" w:line="240" w:lineRule="auto"/>
        <w:jc w:val="center"/>
        <w:rPr>
          <w:rFonts w:ascii="Arial" w:hAnsi="Arial" w:cs="Arial"/>
          <w:b/>
        </w:rPr>
      </w:pPr>
    </w:p>
    <w:p w:rsidR="00E57961" w:rsidRDefault="00E57961" w:rsidP="002A12B4">
      <w:pPr>
        <w:spacing w:after="0" w:line="240" w:lineRule="auto"/>
        <w:jc w:val="center"/>
        <w:rPr>
          <w:rFonts w:ascii="Arial" w:hAnsi="Arial" w:cs="Arial"/>
          <w:b/>
        </w:rPr>
      </w:pPr>
    </w:p>
    <w:p w:rsidR="002A12B4" w:rsidRPr="005B6CA1" w:rsidRDefault="002A12B4" w:rsidP="002A12B4">
      <w:pPr>
        <w:spacing w:after="0" w:line="240" w:lineRule="auto"/>
        <w:jc w:val="center"/>
        <w:rPr>
          <w:rFonts w:ascii="Arial" w:hAnsi="Arial" w:cs="Arial"/>
          <w:b/>
        </w:rPr>
      </w:pPr>
      <w:r>
        <w:rPr>
          <w:rFonts w:ascii="Arial" w:hAnsi="Arial" w:cs="Arial"/>
          <w:b/>
        </w:rPr>
        <w:lastRenderedPageBreak/>
        <w:t>Cuadro 7.</w:t>
      </w:r>
      <w:r w:rsidRPr="005B6CA1">
        <w:rPr>
          <w:rFonts w:ascii="Arial" w:hAnsi="Arial" w:cs="Arial"/>
          <w:b/>
        </w:rPr>
        <w:t xml:space="preserve"> Principales causas de mortalidad para </w:t>
      </w:r>
      <w:r>
        <w:rPr>
          <w:rFonts w:ascii="Arial" w:hAnsi="Arial" w:cs="Arial"/>
          <w:b/>
        </w:rPr>
        <w:t>la población masculina de 25 y más años en México</w:t>
      </w:r>
      <w:r w:rsidRPr="005B6CA1">
        <w:rPr>
          <w:rFonts w:ascii="Arial" w:hAnsi="Arial" w:cs="Arial"/>
          <w:b/>
        </w:rPr>
        <w:t>, 2017.</w:t>
      </w:r>
    </w:p>
    <w:p w:rsidR="002A12B4" w:rsidRPr="005B6CA1" w:rsidRDefault="002A12B4" w:rsidP="002A12B4">
      <w:pPr>
        <w:spacing w:after="0" w:line="360" w:lineRule="auto"/>
        <w:jc w:val="center"/>
        <w:rPr>
          <w:rFonts w:ascii="Arial" w:hAnsi="Arial" w:cs="Arial"/>
          <w:b/>
        </w:rPr>
      </w:pPr>
      <w:r w:rsidRPr="005B6CA1">
        <w:rPr>
          <w:rFonts w:ascii="Arial" w:hAnsi="Arial" w:cs="Arial"/>
          <w:noProof/>
          <w:lang w:eastAsia="es-MX"/>
        </w:rPr>
        <w:drawing>
          <wp:inline distT="0" distB="0" distL="0" distR="0" wp14:anchorId="58E0B6D9" wp14:editId="3FD38151">
            <wp:extent cx="4744556" cy="3467100"/>
            <wp:effectExtent l="0" t="0" r="0" b="0"/>
            <wp:docPr id="22" name="Imagen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749039" cy="3470376"/>
                    </a:xfrm>
                    <a:prstGeom prst="rect">
                      <a:avLst/>
                    </a:prstGeom>
                  </pic:spPr>
                </pic:pic>
              </a:graphicData>
            </a:graphic>
          </wp:inline>
        </w:drawing>
      </w:r>
    </w:p>
    <w:p w:rsidR="002A12B4" w:rsidRDefault="002A12B4" w:rsidP="002A12B4">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E57961" w:rsidRPr="00845BFF" w:rsidRDefault="00E57961" w:rsidP="002A12B4">
      <w:pPr>
        <w:spacing w:after="0" w:line="360" w:lineRule="auto"/>
        <w:jc w:val="center"/>
        <w:rPr>
          <w:rFonts w:ascii="Arial" w:hAnsi="Arial" w:cs="Arial"/>
          <w:b/>
          <w:sz w:val="18"/>
        </w:rPr>
      </w:pPr>
    </w:p>
    <w:p w:rsidR="002A12B4" w:rsidRPr="005B6CA1" w:rsidRDefault="002A12B4" w:rsidP="002A12B4">
      <w:pPr>
        <w:spacing w:after="0" w:line="240" w:lineRule="auto"/>
        <w:jc w:val="center"/>
        <w:rPr>
          <w:rFonts w:ascii="Arial" w:hAnsi="Arial" w:cs="Arial"/>
          <w:b/>
        </w:rPr>
      </w:pPr>
      <w:r>
        <w:rPr>
          <w:rFonts w:ascii="Arial" w:hAnsi="Arial" w:cs="Arial"/>
          <w:b/>
        </w:rPr>
        <w:t>Cuadro 8.</w:t>
      </w:r>
      <w:r w:rsidRPr="005B6CA1">
        <w:rPr>
          <w:rFonts w:ascii="Arial" w:hAnsi="Arial" w:cs="Arial"/>
          <w:b/>
        </w:rPr>
        <w:t xml:space="preserve"> Principales causas de mortalidad para </w:t>
      </w:r>
      <w:r>
        <w:rPr>
          <w:rFonts w:ascii="Arial" w:hAnsi="Arial" w:cs="Arial"/>
          <w:b/>
        </w:rPr>
        <w:t>la población femenina de 0 a 24 años en México</w:t>
      </w:r>
      <w:r w:rsidRPr="005B6CA1">
        <w:rPr>
          <w:rFonts w:ascii="Arial" w:hAnsi="Arial" w:cs="Arial"/>
          <w:b/>
        </w:rPr>
        <w:t>, 2017.</w:t>
      </w:r>
    </w:p>
    <w:p w:rsidR="002A12B4" w:rsidRPr="005B6CA1" w:rsidRDefault="002A12B4" w:rsidP="002A12B4">
      <w:pPr>
        <w:spacing w:after="0" w:line="240" w:lineRule="auto"/>
        <w:jc w:val="center"/>
        <w:rPr>
          <w:rFonts w:ascii="Arial" w:hAnsi="Arial" w:cs="Arial"/>
          <w:b/>
        </w:rPr>
      </w:pPr>
      <w:r w:rsidRPr="005B6CA1">
        <w:rPr>
          <w:rFonts w:ascii="Arial" w:hAnsi="Arial" w:cs="Arial"/>
          <w:noProof/>
          <w:lang w:eastAsia="es-MX"/>
        </w:rPr>
        <w:drawing>
          <wp:inline distT="0" distB="0" distL="0" distR="0" wp14:anchorId="3014DC24" wp14:editId="2B4E1125">
            <wp:extent cx="4744556" cy="3457575"/>
            <wp:effectExtent l="0" t="0" r="0" b="0"/>
            <wp:docPr id="23" name="Imagen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50454" cy="3461873"/>
                    </a:xfrm>
                    <a:prstGeom prst="rect">
                      <a:avLst/>
                    </a:prstGeom>
                  </pic:spPr>
                </pic:pic>
              </a:graphicData>
            </a:graphic>
          </wp:inline>
        </w:drawing>
      </w:r>
    </w:p>
    <w:p w:rsidR="002A12B4" w:rsidRPr="00845BFF" w:rsidRDefault="002A12B4" w:rsidP="002A12B4">
      <w:pPr>
        <w:spacing w:after="0" w:line="240" w:lineRule="auto"/>
        <w:jc w:val="center"/>
        <w:rPr>
          <w:rFonts w:ascii="Arial" w:hAnsi="Arial" w:cs="Arial"/>
          <w:b/>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2A12B4" w:rsidRPr="005B6CA1" w:rsidRDefault="002A12B4" w:rsidP="002A12B4">
      <w:pPr>
        <w:spacing w:after="0" w:line="240" w:lineRule="auto"/>
        <w:jc w:val="center"/>
        <w:rPr>
          <w:rFonts w:ascii="Arial" w:hAnsi="Arial" w:cs="Arial"/>
          <w:b/>
        </w:rPr>
      </w:pPr>
      <w:r>
        <w:rPr>
          <w:rFonts w:ascii="Arial" w:hAnsi="Arial" w:cs="Arial"/>
          <w:b/>
        </w:rPr>
        <w:lastRenderedPageBreak/>
        <w:t>Cuadro 9.</w:t>
      </w:r>
      <w:r w:rsidRPr="005B6CA1">
        <w:rPr>
          <w:rFonts w:ascii="Arial" w:hAnsi="Arial" w:cs="Arial"/>
          <w:b/>
        </w:rPr>
        <w:t xml:space="preserve"> Principales causas de mortalidad para </w:t>
      </w:r>
      <w:r>
        <w:rPr>
          <w:rFonts w:ascii="Arial" w:hAnsi="Arial" w:cs="Arial"/>
          <w:b/>
        </w:rPr>
        <w:t>la población femenina de 25 y más años en México</w:t>
      </w:r>
      <w:r w:rsidRPr="005B6CA1">
        <w:rPr>
          <w:rFonts w:ascii="Arial" w:hAnsi="Arial" w:cs="Arial"/>
          <w:b/>
        </w:rPr>
        <w:t>, 2017.</w:t>
      </w:r>
    </w:p>
    <w:p w:rsidR="002A12B4" w:rsidRPr="005B6CA1" w:rsidRDefault="002A12B4" w:rsidP="002A12B4">
      <w:pPr>
        <w:spacing w:after="0" w:line="240" w:lineRule="auto"/>
        <w:jc w:val="center"/>
        <w:rPr>
          <w:rFonts w:ascii="Arial" w:hAnsi="Arial" w:cs="Arial"/>
          <w:b/>
        </w:rPr>
      </w:pPr>
      <w:r w:rsidRPr="005B6CA1">
        <w:rPr>
          <w:rFonts w:ascii="Arial" w:hAnsi="Arial" w:cs="Arial"/>
          <w:noProof/>
          <w:lang w:eastAsia="es-MX"/>
        </w:rPr>
        <w:drawing>
          <wp:inline distT="0" distB="0" distL="0" distR="0" wp14:anchorId="6CF47787" wp14:editId="799A73FF">
            <wp:extent cx="4744800" cy="3600000"/>
            <wp:effectExtent l="0" t="0" r="0" b="635"/>
            <wp:docPr id="24" name="Imagen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44800" cy="3600000"/>
                    </a:xfrm>
                    <a:prstGeom prst="rect">
                      <a:avLst/>
                    </a:prstGeom>
                  </pic:spPr>
                </pic:pic>
              </a:graphicData>
            </a:graphic>
          </wp:inline>
        </w:drawing>
      </w:r>
    </w:p>
    <w:p w:rsidR="002A12B4" w:rsidRPr="00845BFF" w:rsidRDefault="002A12B4" w:rsidP="002A12B4">
      <w:pPr>
        <w:spacing w:after="0" w:line="360" w:lineRule="auto"/>
        <w:jc w:val="center"/>
        <w:rPr>
          <w:rFonts w:ascii="Arial" w:hAnsi="Arial" w:cs="Arial"/>
          <w:sz w:val="18"/>
        </w:rPr>
      </w:pPr>
      <w:r w:rsidRPr="00845BFF">
        <w:rPr>
          <w:rFonts w:ascii="Arial" w:hAnsi="Arial" w:cs="Arial"/>
          <w:b/>
          <w:sz w:val="18"/>
        </w:rPr>
        <w:t xml:space="preserve">Fuente: </w:t>
      </w:r>
      <w:r w:rsidRPr="00845BFF">
        <w:rPr>
          <w:rFonts w:ascii="Arial" w:hAnsi="Arial" w:cs="Arial"/>
          <w:sz w:val="18"/>
        </w:rPr>
        <w:t>Elaboración propia con base en</w:t>
      </w:r>
      <w:r w:rsidRPr="00845BFF">
        <w:rPr>
          <w:rFonts w:ascii="Arial" w:hAnsi="Arial" w:cs="Arial"/>
          <w:b/>
          <w:sz w:val="18"/>
        </w:rPr>
        <w:t xml:space="preserve"> </w:t>
      </w:r>
      <w:r w:rsidRPr="00845BFF">
        <w:rPr>
          <w:rFonts w:ascii="Arial" w:hAnsi="Arial" w:cs="Arial"/>
          <w:sz w:val="18"/>
        </w:rPr>
        <w:t>INEGI (2019).</w:t>
      </w:r>
    </w:p>
    <w:p w:rsidR="00E57961" w:rsidRDefault="00E57961" w:rsidP="00E57961">
      <w:pPr>
        <w:spacing w:after="0" w:line="360" w:lineRule="auto"/>
        <w:jc w:val="both"/>
        <w:rPr>
          <w:rFonts w:ascii="Arial" w:hAnsi="Arial" w:cs="Arial"/>
          <w:b/>
        </w:rPr>
      </w:pPr>
    </w:p>
    <w:p w:rsidR="002A12B4" w:rsidRPr="00754DBB" w:rsidRDefault="00C309BE" w:rsidP="002A12B4">
      <w:pPr>
        <w:spacing w:line="360" w:lineRule="auto"/>
        <w:jc w:val="both"/>
        <w:rPr>
          <w:rFonts w:ascii="Arial" w:hAnsi="Arial" w:cs="Arial"/>
          <w:b/>
        </w:rPr>
      </w:pPr>
      <w:r>
        <w:rPr>
          <w:rFonts w:ascii="Arial" w:hAnsi="Arial" w:cs="Arial"/>
          <w:b/>
        </w:rPr>
        <w:t>2.5.</w:t>
      </w:r>
      <w:r w:rsidR="002A12B4" w:rsidRPr="00754DBB">
        <w:rPr>
          <w:rFonts w:ascii="Arial" w:hAnsi="Arial" w:cs="Arial"/>
          <w:b/>
        </w:rPr>
        <w:t xml:space="preserve"> Provisión global </w:t>
      </w:r>
      <w:r w:rsidR="002A12B4">
        <w:rPr>
          <w:rFonts w:ascii="Arial" w:hAnsi="Arial" w:cs="Arial"/>
          <w:b/>
        </w:rPr>
        <w:t>de especialistas y servicios en Medicina del Enfermo en Estado Crítico.</w:t>
      </w:r>
      <w:r w:rsidR="002A12B4" w:rsidRPr="00754DBB">
        <w:rPr>
          <w:rFonts w:ascii="Arial" w:hAnsi="Arial" w:cs="Arial"/>
          <w:b/>
        </w:rPr>
        <w:t xml:space="preserve"> </w:t>
      </w:r>
    </w:p>
    <w:p w:rsidR="002A12B4" w:rsidRDefault="002A12B4" w:rsidP="002A12B4">
      <w:pPr>
        <w:spacing w:line="360" w:lineRule="auto"/>
        <w:jc w:val="both"/>
        <w:rPr>
          <w:rFonts w:ascii="Arial" w:hAnsi="Arial" w:cs="Arial"/>
        </w:rPr>
      </w:pPr>
      <w:r>
        <w:rPr>
          <w:rFonts w:ascii="Arial" w:hAnsi="Arial" w:cs="Arial"/>
        </w:rPr>
        <w:t>En México, para el año 2017, había 147,910 médicos especialistas (37.4% mujeres y 62.6% hombres), lo cual implica una tasa de 11.92 especialistas por cada 10,000 habitantes. De la población de médicos especialistas, en promedio, 69% de ellos contaban con certificación vigente de los consejos médicos de sus respectivas especialidades</w:t>
      </w:r>
      <w:r>
        <w:rPr>
          <w:rStyle w:val="Refdenotaalpie"/>
          <w:rFonts w:ascii="Arial" w:hAnsi="Arial" w:cs="Arial"/>
        </w:rPr>
        <w:footnoteReference w:id="34"/>
      </w:r>
      <w:r>
        <w:rPr>
          <w:rFonts w:ascii="Arial" w:hAnsi="Arial" w:cs="Arial"/>
        </w:rPr>
        <w:t>. Asimismo, es importante mencionar que en México; al respecto, el promedio de proporciones de la Organización para la Cooperación y el Desarrollo Económicos (OCDE) es 63% para médicos especialistas y 30% para médicos generales, por lo cual, en términos proporcionales, México está por arriba de dicho promedio</w:t>
      </w:r>
      <w:r>
        <w:rPr>
          <w:rStyle w:val="Refdenotaalpie"/>
          <w:rFonts w:ascii="Arial" w:hAnsi="Arial" w:cs="Arial"/>
        </w:rPr>
        <w:footnoteReference w:id="35"/>
      </w:r>
      <w:r>
        <w:rPr>
          <w:rFonts w:ascii="Arial" w:hAnsi="Arial" w:cs="Arial"/>
        </w:rPr>
        <w:t xml:space="preserve">. </w:t>
      </w:r>
    </w:p>
    <w:p w:rsidR="002A12B4" w:rsidRDefault="002A12B4" w:rsidP="002A12B4">
      <w:pPr>
        <w:spacing w:line="360" w:lineRule="auto"/>
        <w:jc w:val="both"/>
        <w:rPr>
          <w:rFonts w:ascii="Arial" w:hAnsi="Arial" w:cs="Arial"/>
        </w:rPr>
      </w:pPr>
      <w:r>
        <w:rPr>
          <w:rFonts w:ascii="Arial" w:hAnsi="Arial" w:cs="Arial"/>
        </w:rPr>
        <w:t xml:space="preserve">Por otro lado, en México, durante el período 2000-2017 (Gráfica 4) se puede observar una tendencia </w:t>
      </w:r>
      <w:r w:rsidR="00C65C51">
        <w:rPr>
          <w:rFonts w:ascii="Arial" w:hAnsi="Arial" w:cs="Arial"/>
        </w:rPr>
        <w:t>al alza</w:t>
      </w:r>
      <w:r>
        <w:rPr>
          <w:rFonts w:ascii="Arial" w:hAnsi="Arial" w:cs="Arial"/>
        </w:rPr>
        <w:t xml:space="preserve"> de los especialistas en el país, el cual se ha correspondido con el crecimiento poblacional, no </w:t>
      </w:r>
      <w:r w:rsidR="00C65C51">
        <w:rPr>
          <w:rFonts w:ascii="Arial" w:hAnsi="Arial" w:cs="Arial"/>
        </w:rPr>
        <w:t>obstante,</w:t>
      </w:r>
      <w:r>
        <w:rPr>
          <w:rFonts w:ascii="Arial" w:hAnsi="Arial" w:cs="Arial"/>
        </w:rPr>
        <w:t xml:space="preserve"> el ritmo de crecimiento ha sido paulatino e </w:t>
      </w:r>
      <w:r>
        <w:rPr>
          <w:rFonts w:ascii="Arial" w:hAnsi="Arial" w:cs="Arial"/>
        </w:rPr>
        <w:lastRenderedPageBreak/>
        <w:t>insuficiente para cubrir la demanda y necesidades de atención en salud de la población nacional. Muestra de lo anterior es que el número de especialistas en el país es mucho menor; por ejemplo, el promedio en la OCDE es de 2.22 especialistas por cada 10,000 habitantes, siendo así, México se situaría en la posición 26 del indicador (Gráfica 5), pero si la tasa se calculara sólo con datos de los médicos especialistas en el sector salud, el indicador se reduciría aún más</w:t>
      </w:r>
      <w:r>
        <w:rPr>
          <w:rStyle w:val="Refdenotaalpie"/>
          <w:rFonts w:ascii="Arial" w:hAnsi="Arial" w:cs="Arial"/>
        </w:rPr>
        <w:footnoteReference w:id="36"/>
      </w:r>
      <w:r>
        <w:rPr>
          <w:rFonts w:ascii="Arial" w:hAnsi="Arial" w:cs="Arial"/>
        </w:rPr>
        <w:t>.</w:t>
      </w:r>
    </w:p>
    <w:p w:rsidR="002A12B4" w:rsidRPr="000B1A58" w:rsidRDefault="002A12B4" w:rsidP="002A12B4">
      <w:pPr>
        <w:spacing w:after="0" w:line="360" w:lineRule="auto"/>
        <w:jc w:val="center"/>
        <w:rPr>
          <w:rFonts w:ascii="Arial" w:hAnsi="Arial" w:cs="Arial"/>
          <w:b/>
        </w:rPr>
      </w:pPr>
      <w:r w:rsidRPr="000B1A58">
        <w:rPr>
          <w:rFonts w:ascii="Arial" w:hAnsi="Arial" w:cs="Arial"/>
          <w:b/>
        </w:rPr>
        <w:t>Gráfica</w:t>
      </w:r>
      <w:r>
        <w:rPr>
          <w:rFonts w:ascii="Arial" w:hAnsi="Arial" w:cs="Arial"/>
          <w:b/>
        </w:rPr>
        <w:t xml:space="preserve"> 4</w:t>
      </w:r>
      <w:r w:rsidRPr="000B1A58">
        <w:rPr>
          <w:rFonts w:ascii="Arial" w:hAnsi="Arial" w:cs="Arial"/>
          <w:b/>
        </w:rPr>
        <w:t>. Evolución de los médicos especialistas en México, 2000-2017.</w:t>
      </w:r>
    </w:p>
    <w:p w:rsidR="002A12B4" w:rsidRDefault="002A12B4" w:rsidP="002A12B4">
      <w:pPr>
        <w:spacing w:after="0" w:line="360" w:lineRule="auto"/>
        <w:jc w:val="both"/>
        <w:rPr>
          <w:rFonts w:ascii="Arial" w:hAnsi="Arial" w:cs="Arial"/>
        </w:rPr>
      </w:pPr>
      <w:r>
        <w:rPr>
          <w:noProof/>
          <w:lang w:eastAsia="es-MX"/>
        </w:rPr>
        <w:drawing>
          <wp:inline distT="0" distB="0" distL="0" distR="0" wp14:anchorId="3560E484" wp14:editId="612B5E90">
            <wp:extent cx="5612130" cy="2573655"/>
            <wp:effectExtent l="0" t="0" r="7620" b="17145"/>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2A12B4" w:rsidRPr="00D80542" w:rsidRDefault="001117B1" w:rsidP="002A12B4">
      <w:pPr>
        <w:spacing w:after="0" w:line="360" w:lineRule="auto"/>
        <w:ind w:firstLine="708"/>
        <w:jc w:val="both"/>
        <w:rPr>
          <w:rFonts w:ascii="Arial" w:hAnsi="Arial" w:cs="Arial"/>
          <w:sz w:val="18"/>
        </w:rPr>
      </w:pPr>
      <w:r>
        <w:rPr>
          <w:rFonts w:ascii="Arial" w:hAnsi="Arial" w:cs="Arial"/>
          <w:b/>
          <w:sz w:val="18"/>
        </w:rPr>
        <w:t xml:space="preserve">               </w:t>
      </w:r>
      <w:r w:rsidR="002A12B4" w:rsidRPr="00D80542">
        <w:rPr>
          <w:rFonts w:ascii="Arial" w:hAnsi="Arial" w:cs="Arial"/>
          <w:b/>
          <w:sz w:val="18"/>
        </w:rPr>
        <w:t xml:space="preserve">Fuente: </w:t>
      </w:r>
      <w:r w:rsidR="002A12B4" w:rsidRPr="00D80542">
        <w:rPr>
          <w:rFonts w:ascii="Arial" w:hAnsi="Arial" w:cs="Arial"/>
          <w:sz w:val="18"/>
        </w:rPr>
        <w:t xml:space="preserve">Elaboración propia con base en OCDE (2017) y Heinze </w:t>
      </w:r>
      <w:r w:rsidR="00FC4954">
        <w:rPr>
          <w:rFonts w:ascii="Arial" w:hAnsi="Arial" w:cs="Arial"/>
          <w:i/>
          <w:sz w:val="18"/>
        </w:rPr>
        <w:t>et</w:t>
      </w:r>
      <w:r w:rsidR="002A12B4" w:rsidRPr="00D80542">
        <w:rPr>
          <w:rFonts w:ascii="Arial" w:hAnsi="Arial" w:cs="Arial"/>
          <w:i/>
          <w:sz w:val="18"/>
        </w:rPr>
        <w:t xml:space="preserve"> al.</w:t>
      </w:r>
      <w:r w:rsidR="002A12B4" w:rsidRPr="00D80542">
        <w:rPr>
          <w:rFonts w:ascii="Arial" w:hAnsi="Arial" w:cs="Arial"/>
          <w:sz w:val="18"/>
        </w:rPr>
        <w:t xml:space="preserve"> (2018).</w:t>
      </w:r>
    </w:p>
    <w:p w:rsidR="002A12B4" w:rsidRDefault="002A12B4" w:rsidP="002A12B4">
      <w:pPr>
        <w:spacing w:after="0" w:line="36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xml:space="preserve">: Las cifras 2000-2016 corresponden a las publicadas por la OCDE, para 2017 la estimación se hizo en función de las estimaciones de Heinze </w:t>
      </w:r>
      <w:r w:rsidRPr="000C7D4F">
        <w:rPr>
          <w:rFonts w:ascii="Arial" w:hAnsi="Arial" w:cs="Arial"/>
          <w:i/>
          <w:sz w:val="18"/>
        </w:rPr>
        <w:t>et al.</w:t>
      </w:r>
      <w:r w:rsidRPr="00D80542">
        <w:rPr>
          <w:rFonts w:ascii="Arial" w:hAnsi="Arial" w:cs="Arial"/>
          <w:sz w:val="18"/>
        </w:rPr>
        <w:t xml:space="preserve"> (2018) y de las proyecciones de población de CONAPO.</w:t>
      </w:r>
      <w:r>
        <w:rPr>
          <w:rFonts w:ascii="Arial" w:hAnsi="Arial" w:cs="Arial"/>
        </w:rPr>
        <w:t xml:space="preserve"> </w:t>
      </w:r>
    </w:p>
    <w:p w:rsidR="002A12B4" w:rsidRDefault="002A12B4" w:rsidP="002A12B4">
      <w:pPr>
        <w:spacing w:after="0" w:line="360" w:lineRule="auto"/>
        <w:jc w:val="center"/>
        <w:rPr>
          <w:rFonts w:ascii="Arial" w:hAnsi="Arial" w:cs="Arial"/>
        </w:rPr>
      </w:pPr>
    </w:p>
    <w:p w:rsidR="00E57961" w:rsidRDefault="002A12B4" w:rsidP="002A12B4">
      <w:pPr>
        <w:spacing w:after="0" w:line="360" w:lineRule="auto"/>
        <w:jc w:val="center"/>
        <w:rPr>
          <w:rFonts w:ascii="Arial" w:hAnsi="Arial" w:cs="Arial"/>
        </w:rPr>
      </w:pPr>
      <w:r>
        <w:rPr>
          <w:rFonts w:ascii="Arial" w:hAnsi="Arial" w:cs="Arial"/>
        </w:rPr>
        <w:t xml:space="preserve"> </w:t>
      </w: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E57961" w:rsidRDefault="00E57961" w:rsidP="002A12B4">
      <w:pPr>
        <w:spacing w:after="0" w:line="360" w:lineRule="auto"/>
        <w:jc w:val="center"/>
        <w:rPr>
          <w:rFonts w:ascii="Arial" w:hAnsi="Arial" w:cs="Arial"/>
        </w:rPr>
      </w:pPr>
    </w:p>
    <w:p w:rsidR="002A12B4" w:rsidRPr="00B153DC" w:rsidRDefault="002A12B4" w:rsidP="002A12B4">
      <w:pPr>
        <w:spacing w:after="0" w:line="360" w:lineRule="auto"/>
        <w:jc w:val="center"/>
        <w:rPr>
          <w:rFonts w:ascii="Arial" w:hAnsi="Arial" w:cs="Arial"/>
          <w:b/>
        </w:rPr>
      </w:pPr>
      <w:r w:rsidRPr="00B153DC">
        <w:rPr>
          <w:rFonts w:ascii="Arial" w:hAnsi="Arial" w:cs="Arial"/>
          <w:b/>
        </w:rPr>
        <w:lastRenderedPageBreak/>
        <w:t>Gráfica</w:t>
      </w:r>
      <w:r>
        <w:rPr>
          <w:rFonts w:ascii="Arial" w:hAnsi="Arial" w:cs="Arial"/>
          <w:b/>
        </w:rPr>
        <w:t xml:space="preserve"> 5</w:t>
      </w:r>
      <w:r w:rsidRPr="00B153DC">
        <w:rPr>
          <w:rFonts w:ascii="Arial" w:hAnsi="Arial" w:cs="Arial"/>
          <w:b/>
        </w:rPr>
        <w:t>. Médicos especialistas por 1,000 habitantes diversos países de la OCDE, 2015.</w:t>
      </w:r>
    </w:p>
    <w:p w:rsidR="002A12B4" w:rsidRDefault="002A12B4" w:rsidP="002A12B4">
      <w:pPr>
        <w:spacing w:after="0" w:line="360" w:lineRule="auto"/>
        <w:jc w:val="center"/>
        <w:rPr>
          <w:rFonts w:ascii="Arial" w:hAnsi="Arial" w:cs="Arial"/>
        </w:rPr>
      </w:pPr>
      <w:r>
        <w:rPr>
          <w:noProof/>
          <w:lang w:eastAsia="es-MX"/>
        </w:rPr>
        <w:drawing>
          <wp:inline distT="0" distB="0" distL="0" distR="0" wp14:anchorId="57D7A682" wp14:editId="071BAE29">
            <wp:extent cx="5019675" cy="2986088"/>
            <wp:effectExtent l="0" t="0" r="9525" b="508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A12B4" w:rsidRPr="00B350E5" w:rsidRDefault="002A12B4" w:rsidP="002A12B4">
      <w:pPr>
        <w:spacing w:after="0" w:line="360" w:lineRule="auto"/>
        <w:jc w:val="center"/>
        <w:rPr>
          <w:rFonts w:ascii="Arial" w:hAnsi="Arial" w:cs="Arial"/>
          <w:sz w:val="18"/>
        </w:rPr>
      </w:pPr>
      <w:r w:rsidRPr="00D329F3">
        <w:rPr>
          <w:rFonts w:ascii="Arial" w:hAnsi="Arial" w:cs="Arial"/>
          <w:b/>
          <w:sz w:val="18"/>
        </w:rPr>
        <w:t>Fuente:</w:t>
      </w:r>
      <w:r w:rsidRPr="00D329F3">
        <w:rPr>
          <w:rFonts w:ascii="Arial" w:hAnsi="Arial" w:cs="Arial"/>
          <w:sz w:val="18"/>
        </w:rPr>
        <w:t xml:space="preserve"> Elaboración propia con base en OCDE (2017).</w:t>
      </w:r>
    </w:p>
    <w:p w:rsidR="002A12B4" w:rsidRDefault="002A12B4" w:rsidP="002A12B4">
      <w:pPr>
        <w:spacing w:after="0" w:line="360" w:lineRule="auto"/>
        <w:rPr>
          <w:rFonts w:ascii="Arial" w:hAnsi="Arial" w:cs="Arial"/>
          <w:b/>
          <w:sz w:val="20"/>
        </w:rPr>
      </w:pPr>
    </w:p>
    <w:p w:rsidR="002A12B4" w:rsidRDefault="002A12B4" w:rsidP="002A12B4">
      <w:pPr>
        <w:spacing w:line="360" w:lineRule="auto"/>
        <w:jc w:val="both"/>
        <w:rPr>
          <w:rFonts w:ascii="Arial" w:hAnsi="Arial" w:cs="Arial"/>
        </w:rPr>
      </w:pPr>
      <w:r>
        <w:rPr>
          <w:rFonts w:ascii="Arial" w:hAnsi="Arial" w:cs="Arial"/>
        </w:rPr>
        <w:t>Respecto a la especialidad en Medicina del Enfermo en Estado Crítico (adultos y pediátrica), se estima que para México en 2017 había 1,929 especialistas, es decir, una tasa de 1.5 especialistas por cada 100,000 habitantes. De dicha población de médicos especialistas, 47.4% tenían una certificación vigente</w:t>
      </w:r>
      <w:r>
        <w:rPr>
          <w:rStyle w:val="Refdenotaalpie"/>
          <w:rFonts w:ascii="Arial" w:hAnsi="Arial" w:cs="Arial"/>
        </w:rPr>
        <w:footnoteReference w:id="37"/>
      </w:r>
      <w:r>
        <w:rPr>
          <w:rFonts w:ascii="Arial" w:hAnsi="Arial" w:cs="Arial"/>
        </w:rPr>
        <w:t xml:space="preserve">. Sin embargo, las estadísticas actuales –tanto del sector público como privado– no permiten un desglose de dicha especialidad por lo que se desconoce la proporción de estos especialistas según tipo de sector donde laboran; aunque </w:t>
      </w:r>
      <w:r w:rsidRPr="005B4C39">
        <w:rPr>
          <w:rFonts w:ascii="Arial" w:hAnsi="Arial" w:cs="Arial"/>
        </w:rPr>
        <w:t xml:space="preserve">es importante </w:t>
      </w:r>
      <w:r>
        <w:rPr>
          <w:rFonts w:ascii="Arial" w:hAnsi="Arial" w:cs="Arial"/>
        </w:rPr>
        <w:t>considerar que una alta</w:t>
      </w:r>
      <w:r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Pr>
          <w:rStyle w:val="Refdenotaalpie"/>
          <w:rFonts w:ascii="Arial" w:hAnsi="Arial" w:cs="Arial"/>
        </w:rPr>
        <w:footnoteReference w:id="38"/>
      </w:r>
      <w:r w:rsidRPr="005B4C39">
        <w:rPr>
          <w:rFonts w:ascii="Arial" w:hAnsi="Arial" w:cs="Arial"/>
        </w:rPr>
        <w:t>.</w:t>
      </w:r>
      <w:r>
        <w:rPr>
          <w:rFonts w:ascii="Arial" w:hAnsi="Arial" w:cs="Arial"/>
        </w:rPr>
        <w:t xml:space="preserve"> </w:t>
      </w:r>
    </w:p>
    <w:p w:rsidR="002A12B4" w:rsidRDefault="002A12B4" w:rsidP="002A12B4">
      <w:pPr>
        <w:spacing w:line="360" w:lineRule="auto"/>
        <w:jc w:val="both"/>
        <w:rPr>
          <w:rFonts w:ascii="Arial" w:hAnsi="Arial" w:cs="Arial"/>
        </w:rPr>
      </w:pPr>
      <w:r>
        <w:rPr>
          <w:rFonts w:ascii="Arial" w:hAnsi="Arial" w:cs="Arial"/>
        </w:rPr>
        <w:t xml:space="preserve">En México, como se ha explicado anteriormente, desde el siglo anterior han evolucionado diversos aspectos relacionados con la salud: una mayor esperanza de vida, aumentado el número de enfermedades crónico degenerativas (principalmente no transmisibles), así como enfermos relacionados con estos padecimientos (por ejemplo, </w:t>
      </w:r>
      <w:r w:rsidRPr="008C4C2B">
        <w:rPr>
          <w:rFonts w:ascii="Arial" w:hAnsi="Arial" w:cs="Arial"/>
        </w:rPr>
        <w:t xml:space="preserve">arteriosclerosis, </w:t>
      </w:r>
      <w:r w:rsidRPr="008C4C2B">
        <w:rPr>
          <w:rFonts w:ascii="Arial" w:hAnsi="Arial" w:cs="Arial"/>
        </w:rPr>
        <w:lastRenderedPageBreak/>
        <w:t>cáncer y los infartos cerebrales</w:t>
      </w:r>
      <w:r>
        <w:rPr>
          <w:rFonts w:ascii="Arial" w:hAnsi="Arial" w:cs="Arial"/>
        </w:rPr>
        <w:t>, por mencionar sólo algunos)</w:t>
      </w:r>
      <w:r>
        <w:rPr>
          <w:rStyle w:val="Refdenotaalpie"/>
          <w:rFonts w:ascii="Arial" w:hAnsi="Arial" w:cs="Arial"/>
        </w:rPr>
        <w:footnoteReference w:id="39"/>
      </w:r>
      <w:r>
        <w:rPr>
          <w:rFonts w:ascii="Arial" w:hAnsi="Arial" w:cs="Arial"/>
        </w:rPr>
        <w:t>. En consecuencia, se ha aumentado el gasto económico y social destinado para el mantenimiento y tratamiento de un número cada vez mayor de pacientes que requiere de cuidados intensivos por tiempo prolongado, muchos de ellos severamente discapacitados. En dicha evolución del aumento de morbilidad y mortalidad, la medicina del enfermo en estado crítico tiene una importante participación</w:t>
      </w:r>
      <w:r>
        <w:rPr>
          <w:rStyle w:val="Refdenotaalpie"/>
          <w:rFonts w:ascii="Arial" w:hAnsi="Arial" w:cs="Arial"/>
        </w:rPr>
        <w:footnoteReference w:id="40"/>
      </w:r>
      <w:r>
        <w:rPr>
          <w:rFonts w:ascii="Arial" w:hAnsi="Arial" w:cs="Arial"/>
        </w:rPr>
        <w:t xml:space="preserve">. Adicionalmente, Vásquez </w:t>
      </w:r>
      <w:r w:rsidR="00D61936">
        <w:rPr>
          <w:rFonts w:ascii="Arial" w:hAnsi="Arial" w:cs="Arial"/>
          <w:i/>
        </w:rPr>
        <w:t>et</w:t>
      </w:r>
      <w:r w:rsidRPr="003A6BFA">
        <w:rPr>
          <w:rFonts w:ascii="Arial" w:hAnsi="Arial" w:cs="Arial"/>
          <w:i/>
        </w:rPr>
        <w:t xml:space="preserve"> al.</w:t>
      </w:r>
      <w:r>
        <w:rPr>
          <w:rFonts w:ascii="Arial" w:hAnsi="Arial" w:cs="Arial"/>
          <w:i/>
        </w:rPr>
        <w:t>,</w:t>
      </w:r>
      <w:r>
        <w:rPr>
          <w:rFonts w:ascii="Arial" w:hAnsi="Arial" w:cs="Arial"/>
        </w:rPr>
        <w:t xml:space="preserve"> señalan que la población de pacientes que requieren de cuidados intensivos por tiempo prolongado se ha incrementado en las últimas décadas, lo cual ha resultado en una nueva población de pacientes con enfermedad crítica crónica (ECC); asimismo, los autores refieren que estos pacientes reportan una mayor estancia en las unidades de cuidados intensivos, más días de sedación, una estancia hospitalaria más prolongada y una mortalidad hospitalaria mayor</w:t>
      </w:r>
      <w:r>
        <w:rPr>
          <w:rStyle w:val="Refdenotaalpie"/>
          <w:rFonts w:ascii="Arial" w:hAnsi="Arial" w:cs="Arial"/>
        </w:rPr>
        <w:footnoteReference w:id="41"/>
      </w:r>
      <w:r>
        <w:rPr>
          <w:rFonts w:ascii="Arial" w:hAnsi="Arial" w:cs="Arial"/>
        </w:rPr>
        <w:t xml:space="preserve">.  </w:t>
      </w:r>
    </w:p>
    <w:p w:rsidR="002A12B4" w:rsidRDefault="002A12B4" w:rsidP="002A12B4">
      <w:pPr>
        <w:spacing w:line="360" w:lineRule="auto"/>
        <w:jc w:val="both"/>
        <w:rPr>
          <w:rFonts w:ascii="Arial" w:hAnsi="Arial" w:cs="Arial"/>
        </w:rPr>
      </w:pPr>
      <w:r>
        <w:rPr>
          <w:rFonts w:ascii="Arial" w:hAnsi="Arial" w:cs="Arial"/>
        </w:rPr>
        <w:t xml:space="preserve">En México, para el año 2017, se registraron 5.7 millones de egresos hospitalarios en el sector salud público. Respecto a los pacientes que requirieron cuidado intensivo, no es del todo posible identificarlos en las estadísticas existentes; sin embargo, se hizo un bosquejo del panorama en función de los días de instancia. Al respecto, </w:t>
      </w:r>
      <w:r w:rsidRPr="00485F74">
        <w:rPr>
          <w:rFonts w:ascii="Arial" w:hAnsi="Arial" w:cs="Arial"/>
        </w:rPr>
        <w:t xml:space="preserve">Vásquez </w:t>
      </w:r>
      <w:r w:rsidR="00EC2116">
        <w:rPr>
          <w:rFonts w:ascii="Arial" w:hAnsi="Arial" w:cs="Arial"/>
          <w:i/>
        </w:rPr>
        <w:t>et</w:t>
      </w:r>
      <w:r w:rsidRPr="00485F74">
        <w:rPr>
          <w:rFonts w:ascii="Arial" w:hAnsi="Arial" w:cs="Arial"/>
          <w:i/>
        </w:rPr>
        <w:t xml:space="preserve"> al.</w:t>
      </w:r>
      <w:r>
        <w:rPr>
          <w:rFonts w:ascii="Arial" w:hAnsi="Arial" w:cs="Arial"/>
        </w:rPr>
        <w:t xml:space="preserve">, señalan que los días de estancia hospitalaria para este tipo de pacientes es, en promedio, de 18.3 y 45.9 días (sin ECC y con ECC, respectivamente). Tomando las cifras anteriores como referencia, se hizo un análisis exploratorio de las principales causes de afección en dichos pacientes (Cuadro 10). Las principales causas de afecciones, según días de estancia hospitalaria, son de etiología diversa, así como de afectación a diversos grupos etarios (desde neonatos hasta pacientes envejecidos); para el primer grupo de estancia hospitalaria (18-44 días) se observa que la primer causa son los trastornos relacionados con duración corta de la gestación y bajo peso al nacer (5,413 casos), le siguen la enfermedad renal crónica y fractura de fémur (5,122 y 4,925 eventos); destaca que la diabetes mellitus no insulinodependiente es la quinta causa entre los pacientes con este intervalo de estancia hospitalaria, lo cual da cuenta del peso de la enfermedad en el esquema de salud nacional. Adicionalmente, las causas de morbilidad con mayor número de días de estancia hospitalaria son nuevamente </w:t>
      </w:r>
      <w:r w:rsidR="00596679">
        <w:rPr>
          <w:rFonts w:ascii="Arial" w:hAnsi="Arial" w:cs="Arial"/>
        </w:rPr>
        <w:t>los trastornos</w:t>
      </w:r>
      <w:r w:rsidRPr="001D510D">
        <w:rPr>
          <w:rFonts w:ascii="Arial" w:hAnsi="Arial" w:cs="Arial"/>
        </w:rPr>
        <w:t xml:space="preserve"> relacionados con duración corta de la gestación y bajo peso al nacer</w:t>
      </w:r>
      <w:r>
        <w:rPr>
          <w:rFonts w:ascii="Arial" w:hAnsi="Arial" w:cs="Arial"/>
        </w:rPr>
        <w:t xml:space="preserve">, seguido por la dificultad respiratoria del recién </w:t>
      </w:r>
      <w:r>
        <w:rPr>
          <w:rFonts w:ascii="Arial" w:hAnsi="Arial" w:cs="Arial"/>
        </w:rPr>
        <w:lastRenderedPageBreak/>
        <w:t xml:space="preserve">nacido y la esquizofrenia (esta última es la séptima causa en el intervalo anterior). Por lo anterior, se puede afirmar una transición del estado del esquema de las enfermedades que va de lo agudo a lo crítico, que depende de la severidad de la enfermedad al ingreso y de otras variables (como edad, recuento de plaquetas, etc.). Finalmente, las personas que se catalogan bajo ECC demandan mayor volumen de recursos físicos, humanos y económicos, lo cual a su vez se traducen en un elevado costo social y económico tanto para las familias como para el sector salud. </w:t>
      </w:r>
    </w:p>
    <w:p w:rsidR="002A12B4" w:rsidRPr="00C3704F" w:rsidRDefault="002A12B4" w:rsidP="00E57961">
      <w:pPr>
        <w:spacing w:after="0" w:line="240" w:lineRule="auto"/>
        <w:jc w:val="center"/>
        <w:rPr>
          <w:rFonts w:ascii="Arial" w:hAnsi="Arial" w:cs="Arial"/>
          <w:b/>
        </w:rPr>
      </w:pPr>
      <w:r w:rsidRPr="00C3704F">
        <w:rPr>
          <w:rFonts w:ascii="Arial" w:hAnsi="Arial" w:cs="Arial"/>
          <w:b/>
        </w:rPr>
        <w:t>Cuadro</w:t>
      </w:r>
      <w:r>
        <w:rPr>
          <w:rFonts w:ascii="Arial" w:hAnsi="Arial" w:cs="Arial"/>
          <w:b/>
        </w:rPr>
        <w:t xml:space="preserve"> 10</w:t>
      </w:r>
      <w:r w:rsidRPr="00C3704F">
        <w:rPr>
          <w:rFonts w:ascii="Arial" w:hAnsi="Arial" w:cs="Arial"/>
          <w:b/>
        </w:rPr>
        <w:t>. Principales causas de morbilidad en pacientes con estancias hospitalarias prolongadas, México 2017.</w:t>
      </w:r>
    </w:p>
    <w:p w:rsidR="002A12B4" w:rsidRPr="00EF5DF7" w:rsidRDefault="002A12B4" w:rsidP="00FC4954">
      <w:pPr>
        <w:spacing w:line="360" w:lineRule="auto"/>
        <w:jc w:val="both"/>
        <w:rPr>
          <w:rFonts w:ascii="Arial" w:hAnsi="Arial" w:cs="Arial"/>
          <w:sz w:val="20"/>
        </w:rPr>
      </w:pPr>
      <w:r>
        <w:rPr>
          <w:noProof/>
          <w:lang w:eastAsia="es-MX"/>
        </w:rPr>
        <w:drawing>
          <wp:inline distT="0" distB="0" distL="0" distR="0" wp14:anchorId="4BF501B5" wp14:editId="114F5A0B">
            <wp:extent cx="5612130" cy="4280535"/>
            <wp:effectExtent l="0" t="0" r="7620" b="571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12130" cy="4280535"/>
                    </a:xfrm>
                    <a:prstGeom prst="rect">
                      <a:avLst/>
                    </a:prstGeom>
                  </pic:spPr>
                </pic:pic>
              </a:graphicData>
            </a:graphic>
          </wp:inline>
        </w:drawing>
      </w:r>
      <w:r>
        <w:rPr>
          <w:rFonts w:ascii="Arial" w:hAnsi="Arial" w:cs="Arial"/>
        </w:rPr>
        <w:t xml:space="preserve">     </w:t>
      </w:r>
      <w:r w:rsidR="000E0F35">
        <w:rPr>
          <w:rFonts w:ascii="Arial" w:hAnsi="Arial" w:cs="Arial"/>
        </w:rPr>
        <w:t xml:space="preserve">                                 </w:t>
      </w:r>
      <w:r w:rsidRPr="00EF5DF7">
        <w:rPr>
          <w:rFonts w:ascii="Arial" w:hAnsi="Arial" w:cs="Arial"/>
          <w:b/>
          <w:sz w:val="18"/>
        </w:rPr>
        <w:t xml:space="preserve">Fuente: </w:t>
      </w:r>
      <w:r w:rsidRPr="00EF5DF7">
        <w:rPr>
          <w:rFonts w:ascii="Arial" w:hAnsi="Arial" w:cs="Arial"/>
          <w:sz w:val="18"/>
        </w:rPr>
        <w:t>Elaboración propia con base en SSA (s.f.).</w:t>
      </w:r>
      <w:r w:rsidRPr="00EF5DF7">
        <w:rPr>
          <w:rFonts w:ascii="Arial" w:hAnsi="Arial" w:cs="Arial"/>
          <w:sz w:val="20"/>
        </w:rPr>
        <w:t xml:space="preserve"> </w:t>
      </w:r>
    </w:p>
    <w:p w:rsidR="002A12B4" w:rsidRDefault="002A12B4" w:rsidP="002A12B4">
      <w:pPr>
        <w:spacing w:line="360" w:lineRule="auto"/>
        <w:jc w:val="both"/>
        <w:rPr>
          <w:rFonts w:ascii="Arial" w:hAnsi="Arial" w:cs="Arial"/>
        </w:rPr>
      </w:pPr>
      <w:r>
        <w:rPr>
          <w:rFonts w:ascii="Arial" w:hAnsi="Arial" w:cs="Arial"/>
        </w:rPr>
        <w:t xml:space="preserve">Respecto a la distribución geográfica de los eventos con mayor estancia hospitalaria (mayor a 18 días), la Ciudad de México es significativamente la entidad con mayor proporción de estos casos (19.8%), muy por debajo le siguen Jalisco, el Estado de México y Nuevo León (8.7%, 8% y 5%, correspondientemente). En contraste, las entidades con menor participación en dichos casos son Campeche, Nayarit y Colima (0.6% para las primeras dos y 0.5% para la última). Lo anterior muestra la concentración de los servicios </w:t>
      </w:r>
      <w:r>
        <w:rPr>
          <w:rFonts w:ascii="Arial" w:hAnsi="Arial" w:cs="Arial"/>
        </w:rPr>
        <w:lastRenderedPageBreak/>
        <w:t>altamente especializados en salud en las principales regiones metropolitanas del país, lo cual a su vez se traduce en un problema de inequidad y acceso a los servicios de salud, especialmente a aquellos altamente especializados.</w:t>
      </w:r>
      <w:r w:rsidRPr="00143DF8">
        <w:t xml:space="preserve"> </w:t>
      </w:r>
      <w:r>
        <w:rPr>
          <w:rFonts w:ascii="Arial" w:hAnsi="Arial" w:cs="Arial"/>
        </w:rPr>
        <w:t>Adicionalmente</w:t>
      </w:r>
      <w:r w:rsidRPr="00143DF8">
        <w:rPr>
          <w:rFonts w:ascii="Arial" w:hAnsi="Arial" w:cs="Arial"/>
        </w:rPr>
        <w:t>, se puede afirmar que la mala distribución de la fuerza laboral de los especialistas es resultado de la indefinición de un modelo de atención que determine explícitamente la cantidad, composición y distribución regional de los médicos generales y especialistas que se requieren para atender los riesgos de enfermar y la demanda de servicios por parte de las poblaciones en lugares y en los tiempos específicos</w:t>
      </w:r>
      <w:r>
        <w:rPr>
          <w:rStyle w:val="Refdenotaalpie"/>
          <w:rFonts w:ascii="Arial" w:hAnsi="Arial" w:cs="Arial"/>
        </w:rPr>
        <w:footnoteReference w:id="42"/>
      </w:r>
      <w:r w:rsidRPr="00143DF8">
        <w:rPr>
          <w:rFonts w:ascii="Arial" w:hAnsi="Arial" w:cs="Arial"/>
        </w:rPr>
        <w:t>.</w:t>
      </w:r>
      <w:r>
        <w:rPr>
          <w:rFonts w:ascii="Arial" w:hAnsi="Arial" w:cs="Arial"/>
        </w:rPr>
        <w:t xml:space="preserve"> Asimismo, las estadísticas sugieren un modelo polarizado tanto de oferta y demanda laboral de los especialistas, así como de su posible rendimiento laboral. Además, expertos plantean que la evolución de los </w:t>
      </w:r>
      <w:r w:rsidRPr="00B301DB">
        <w:rPr>
          <w:rFonts w:ascii="Arial" w:hAnsi="Arial" w:cs="Arial"/>
        </w:rPr>
        <w:t>médicos especialistas ha sido, generalmente, inercial</w:t>
      </w:r>
      <w:r>
        <w:rPr>
          <w:rFonts w:ascii="Arial" w:hAnsi="Arial" w:cs="Arial"/>
        </w:rPr>
        <w:t xml:space="preserve">; además, mencionan 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Pr>
          <w:rStyle w:val="Refdenotaalpie"/>
          <w:rFonts w:ascii="Arial" w:hAnsi="Arial" w:cs="Arial"/>
        </w:rPr>
        <w:footnoteReference w:id="43"/>
      </w:r>
      <w:r>
        <w:rPr>
          <w:rFonts w:ascii="Arial" w:hAnsi="Arial" w:cs="Arial"/>
        </w:rPr>
        <w:t xml:space="preserve"> </w:t>
      </w:r>
      <w:r>
        <w:rPr>
          <w:rStyle w:val="Refdenotaalpie"/>
          <w:rFonts w:ascii="Arial" w:hAnsi="Arial" w:cs="Arial"/>
        </w:rPr>
        <w:footnoteReference w:id="44"/>
      </w:r>
      <w:r>
        <w:rPr>
          <w:rFonts w:ascii="Arial" w:hAnsi="Arial" w:cs="Arial"/>
        </w:rPr>
        <w:t xml:space="preserve">. En resumen, se puede afirmar que el incremento </w:t>
      </w:r>
      <w:r w:rsidRPr="00B301DB">
        <w:rPr>
          <w:rFonts w:ascii="Arial" w:hAnsi="Arial" w:cs="Arial"/>
        </w:rPr>
        <w:t>o</w:t>
      </w:r>
      <w:r>
        <w:rPr>
          <w:rFonts w:ascii="Arial" w:hAnsi="Arial" w:cs="Arial"/>
        </w:rPr>
        <w:t xml:space="preserve"> la falta –así como la 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rsidR="00FC4954" w:rsidRDefault="00FC4954" w:rsidP="002A12B4">
      <w:pPr>
        <w:spacing w:line="360" w:lineRule="auto"/>
        <w:jc w:val="center"/>
        <w:rPr>
          <w:rFonts w:ascii="Arial" w:hAnsi="Arial" w:cs="Arial"/>
          <w:b/>
        </w:rPr>
      </w:pPr>
    </w:p>
    <w:p w:rsidR="00FC4954" w:rsidRDefault="00FC4954" w:rsidP="002A12B4">
      <w:pPr>
        <w:spacing w:line="360" w:lineRule="auto"/>
        <w:jc w:val="center"/>
        <w:rPr>
          <w:rFonts w:ascii="Arial" w:hAnsi="Arial" w:cs="Arial"/>
          <w:b/>
        </w:rPr>
      </w:pPr>
    </w:p>
    <w:p w:rsidR="00FC4954" w:rsidRDefault="00FC4954" w:rsidP="002A12B4">
      <w:pPr>
        <w:spacing w:line="360" w:lineRule="auto"/>
        <w:jc w:val="center"/>
        <w:rPr>
          <w:rFonts w:ascii="Arial" w:hAnsi="Arial" w:cs="Arial"/>
          <w:b/>
        </w:rPr>
      </w:pPr>
    </w:p>
    <w:p w:rsidR="00FC4954" w:rsidRDefault="00FC4954" w:rsidP="002A12B4">
      <w:pPr>
        <w:spacing w:line="360" w:lineRule="auto"/>
        <w:jc w:val="center"/>
        <w:rPr>
          <w:rFonts w:ascii="Arial" w:hAnsi="Arial" w:cs="Arial"/>
          <w:b/>
        </w:rPr>
      </w:pPr>
    </w:p>
    <w:p w:rsidR="00FC4954" w:rsidRDefault="00FC4954" w:rsidP="002A12B4">
      <w:pPr>
        <w:spacing w:line="360" w:lineRule="auto"/>
        <w:jc w:val="center"/>
        <w:rPr>
          <w:rFonts w:ascii="Arial" w:hAnsi="Arial" w:cs="Arial"/>
          <w:b/>
        </w:rPr>
      </w:pPr>
    </w:p>
    <w:p w:rsidR="00FC4954" w:rsidRDefault="00FC4954" w:rsidP="002A12B4">
      <w:pPr>
        <w:spacing w:line="360" w:lineRule="auto"/>
        <w:jc w:val="center"/>
        <w:rPr>
          <w:rFonts w:ascii="Arial" w:hAnsi="Arial" w:cs="Arial"/>
          <w:b/>
        </w:rPr>
      </w:pPr>
    </w:p>
    <w:p w:rsidR="002A12B4" w:rsidRPr="00EF5DF7" w:rsidRDefault="002A12B4" w:rsidP="002A12B4">
      <w:pPr>
        <w:spacing w:line="360" w:lineRule="auto"/>
        <w:jc w:val="center"/>
        <w:rPr>
          <w:rFonts w:ascii="Arial" w:hAnsi="Arial" w:cs="Arial"/>
          <w:b/>
        </w:rPr>
      </w:pPr>
      <w:r w:rsidRPr="00EF5DF7">
        <w:rPr>
          <w:rFonts w:ascii="Arial" w:hAnsi="Arial" w:cs="Arial"/>
          <w:b/>
        </w:rPr>
        <w:lastRenderedPageBreak/>
        <w:t>Cuadro 11. Distribución estatal de casos de pacientes con estancias hospitalarias prolongadas, México 2017.</w:t>
      </w:r>
    </w:p>
    <w:tbl>
      <w:tblPr>
        <w:tblW w:w="5840" w:type="dxa"/>
        <w:jc w:val="center"/>
        <w:tblCellMar>
          <w:left w:w="70" w:type="dxa"/>
          <w:right w:w="70" w:type="dxa"/>
        </w:tblCellMar>
        <w:tblLook w:val="04A0" w:firstRow="1" w:lastRow="0" w:firstColumn="1" w:lastColumn="0" w:noHBand="0" w:noVBand="1"/>
      </w:tblPr>
      <w:tblGrid>
        <w:gridCol w:w="2689"/>
        <w:gridCol w:w="1701"/>
        <w:gridCol w:w="1450"/>
      </w:tblGrid>
      <w:tr w:rsidR="002A12B4" w:rsidRPr="00EF5DF7" w:rsidTr="002A12B4">
        <w:trPr>
          <w:trHeight w:val="300"/>
          <w:jc w:val="center"/>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b/>
                <w:bCs/>
                <w:color w:val="000000"/>
                <w:lang w:eastAsia="es-MX"/>
              </w:rPr>
            </w:pPr>
            <w:r w:rsidRPr="000E0F35">
              <w:rPr>
                <w:rFonts w:ascii="Arial" w:eastAsia="Times New Roman" w:hAnsi="Arial" w:cs="Arial"/>
                <w:b/>
                <w:bCs/>
                <w:color w:val="000000"/>
                <w:lang w:eastAsia="es-MX"/>
              </w:rPr>
              <w:t>Entidad</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b/>
                <w:bCs/>
                <w:color w:val="000000"/>
                <w:lang w:eastAsia="es-MX"/>
              </w:rPr>
            </w:pPr>
            <w:r w:rsidRPr="000E0F35">
              <w:rPr>
                <w:rFonts w:ascii="Arial" w:eastAsia="Times New Roman" w:hAnsi="Arial" w:cs="Arial"/>
                <w:b/>
                <w:bCs/>
                <w:color w:val="000000"/>
                <w:lang w:eastAsia="es-MX"/>
              </w:rPr>
              <w:t>Frecuencia absoluta</w:t>
            </w:r>
          </w:p>
        </w:tc>
        <w:tc>
          <w:tcPr>
            <w:tcW w:w="1450" w:type="dxa"/>
            <w:tcBorders>
              <w:top w:val="single" w:sz="4" w:space="0" w:color="auto"/>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b/>
                <w:bCs/>
                <w:color w:val="000000"/>
                <w:lang w:eastAsia="es-MX"/>
              </w:rPr>
            </w:pPr>
            <w:r w:rsidRPr="000E0F35">
              <w:rPr>
                <w:rFonts w:ascii="Arial" w:eastAsia="Times New Roman" w:hAnsi="Arial" w:cs="Arial"/>
                <w:b/>
                <w:bCs/>
                <w:color w:val="000000"/>
                <w:lang w:eastAsia="es-MX"/>
              </w:rPr>
              <w:t>Frecuencia relativa</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Aguascalientes</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2,194</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1.3%</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Baja California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5,039</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Baja California Sur</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1,279</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0.8%</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Campeche</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1,031</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0.6%</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Chiapas</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3,795</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2.3%</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Chihuahua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5,738</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3.4%</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Ciudad de México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33,007</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19.8%</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Coahuila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4,249</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2.6%</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Colima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795</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0.5%</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Durango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2,312</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1.4%</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Guanajuato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6,696</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4.0%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Guerrero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2,873</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1.7%</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Hidalgo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2,316</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1.4%</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Jalisco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14,443</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8.7%</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Estado de México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13,390</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8.0%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Michoacán</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3,543</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2.1%</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Morelos</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1,693</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Nayarit</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932</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0.6%</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Nuevo León</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8,332</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5.0%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Oaxaca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3,019</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1.8%</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Puebla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6,527</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3.9%</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Querétaro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2,581</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1.6%</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Quintana Roo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1,924</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1.2%</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San Luis Potosí</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3,370</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Sinaloa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5,023</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3.0%</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Sonora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6,859</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4.1%</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Tabasco</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3,146</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1.9%</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Tamaulipas</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5,454</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3.3%</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Tlaxcala</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1,114</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0.7%</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Veracruz</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7,930</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4.8%</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Yucatán</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4,590</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2.8%</w:t>
            </w:r>
          </w:p>
        </w:tc>
      </w:tr>
      <w:tr w:rsidR="002A12B4" w:rsidRPr="00EF5DF7" w:rsidTr="002A12B4">
        <w:trPr>
          <w:trHeight w:val="300"/>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Zacatecas</w:t>
            </w:r>
          </w:p>
        </w:tc>
        <w:tc>
          <w:tcPr>
            <w:tcW w:w="1701"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1,245</w:t>
            </w:r>
          </w:p>
        </w:tc>
        <w:tc>
          <w:tcPr>
            <w:tcW w:w="1450" w:type="dxa"/>
            <w:tcBorders>
              <w:top w:val="nil"/>
              <w:left w:val="nil"/>
              <w:bottom w:val="single" w:sz="4" w:space="0" w:color="auto"/>
              <w:right w:val="single" w:sz="4" w:space="0" w:color="auto"/>
            </w:tcBorders>
            <w:shd w:val="clear" w:color="auto" w:fill="auto"/>
            <w:noWrap/>
            <w:vAlign w:val="center"/>
            <w:hideMark/>
          </w:tcPr>
          <w:p w:rsidR="002A12B4" w:rsidRPr="000E0F35" w:rsidRDefault="002A12B4" w:rsidP="002A12B4">
            <w:pPr>
              <w:spacing w:after="0" w:line="240" w:lineRule="auto"/>
              <w:jc w:val="center"/>
              <w:rPr>
                <w:rFonts w:ascii="Arial" w:eastAsia="Times New Roman" w:hAnsi="Arial" w:cs="Arial"/>
                <w:color w:val="000000"/>
                <w:lang w:eastAsia="es-MX"/>
              </w:rPr>
            </w:pPr>
            <w:r w:rsidRPr="000E0F35">
              <w:rPr>
                <w:rFonts w:ascii="Arial" w:eastAsia="Times New Roman" w:hAnsi="Arial" w:cs="Arial"/>
                <w:color w:val="000000"/>
                <w:lang w:eastAsia="es-MX"/>
              </w:rPr>
              <w:t>0.7%</w:t>
            </w:r>
          </w:p>
        </w:tc>
      </w:tr>
    </w:tbl>
    <w:p w:rsidR="002A12B4" w:rsidRPr="00EF5DF7" w:rsidRDefault="002A12B4" w:rsidP="002A12B4">
      <w:pPr>
        <w:spacing w:line="360" w:lineRule="auto"/>
        <w:ind w:left="1416" w:firstLine="708"/>
        <w:jc w:val="both"/>
        <w:rPr>
          <w:rFonts w:ascii="Arial" w:hAnsi="Arial" w:cs="Arial"/>
          <w:sz w:val="20"/>
        </w:rPr>
      </w:pPr>
      <w:r w:rsidRPr="00EF5DF7">
        <w:rPr>
          <w:rFonts w:ascii="Arial" w:hAnsi="Arial" w:cs="Arial"/>
          <w:b/>
          <w:sz w:val="18"/>
        </w:rPr>
        <w:t xml:space="preserve">Fuente: </w:t>
      </w:r>
      <w:r w:rsidRPr="00EF5DF7">
        <w:rPr>
          <w:rFonts w:ascii="Arial" w:hAnsi="Arial" w:cs="Arial"/>
          <w:sz w:val="18"/>
        </w:rPr>
        <w:t>Elaboración propia con base en SSA (s.f.).</w:t>
      </w:r>
      <w:r w:rsidRPr="00EF5DF7">
        <w:rPr>
          <w:rFonts w:ascii="Arial" w:hAnsi="Arial" w:cs="Arial"/>
          <w:sz w:val="20"/>
        </w:rPr>
        <w:t xml:space="preserve"> </w:t>
      </w:r>
    </w:p>
    <w:p w:rsidR="002A12B4" w:rsidRDefault="002A12B4" w:rsidP="002A12B4">
      <w:pPr>
        <w:spacing w:line="360" w:lineRule="auto"/>
        <w:jc w:val="both"/>
        <w:rPr>
          <w:rFonts w:ascii="Arial" w:hAnsi="Arial" w:cs="Arial"/>
        </w:rPr>
      </w:pPr>
    </w:p>
    <w:p w:rsidR="002A12B4" w:rsidRPr="00EF5DF7" w:rsidRDefault="002A12B4" w:rsidP="002A12B4">
      <w:pPr>
        <w:spacing w:line="360" w:lineRule="auto"/>
        <w:jc w:val="both"/>
        <w:rPr>
          <w:rFonts w:ascii="Arial" w:hAnsi="Arial" w:cs="Arial"/>
        </w:rPr>
      </w:pPr>
      <w:r>
        <w:rPr>
          <w:rFonts w:ascii="Arial" w:hAnsi="Arial" w:cs="Arial"/>
        </w:rPr>
        <w:lastRenderedPageBreak/>
        <w:t>Finalmente, la medicina crítica es una especialidad médica compleja y reciente en comparación con otras disciplinas de la medicina</w:t>
      </w:r>
      <w:r>
        <w:rPr>
          <w:rStyle w:val="Refdenotaalpie"/>
          <w:rFonts w:ascii="Arial" w:hAnsi="Arial" w:cs="Arial"/>
        </w:rPr>
        <w:footnoteReference w:id="45"/>
      </w:r>
      <w:r>
        <w:rPr>
          <w:rFonts w:ascii="Arial" w:hAnsi="Arial" w:cs="Arial"/>
        </w:rPr>
        <w:t>. A través de los años, la práctica y enseñanza de esta especialidad se ha estado transformando y adaptando según a la evolución de la sociedad y del conocimiento vertiginoso de la medicina</w:t>
      </w:r>
      <w:r>
        <w:rPr>
          <w:rStyle w:val="Refdenotaalpie"/>
          <w:rFonts w:ascii="Arial" w:hAnsi="Arial" w:cs="Arial"/>
        </w:rPr>
        <w:footnoteReference w:id="46"/>
      </w:r>
      <w:r>
        <w:rPr>
          <w:rFonts w:ascii="Arial" w:hAnsi="Arial" w:cs="Arial"/>
        </w:rPr>
        <w:t>. Para cumplir las presentes y futuras demandas en salud de la población, es urgente invertir tanto en recursos humanos y físicos para el cuidado de los pacientes en estado crítico. Al respecto, Villagómez expone que los desafíos inminentes de la medicina crítica son la práctica con enfoque ético, con enfoque económico, con enfoque de seguridad y legalidad, así como la incorporación de nuevas tecnologías, específicamente, medicina genómica y robótica</w:t>
      </w:r>
      <w:r>
        <w:rPr>
          <w:rStyle w:val="Refdenotaalpie"/>
          <w:rFonts w:ascii="Arial" w:hAnsi="Arial" w:cs="Arial"/>
        </w:rPr>
        <w:footnoteReference w:id="47"/>
      </w:r>
      <w:r>
        <w:rPr>
          <w:rFonts w:ascii="Arial" w:hAnsi="Arial" w:cs="Arial"/>
        </w:rPr>
        <w:t>. El aumentar los recursos humanos y físicos de calidad ayudará a prevenir muertes, limitar discapacidades, palear el dolor, promoverá el crecimiento económico y ayudará a lograr máximas ganancias en la salud, bienestar y desarrollo para todos</w:t>
      </w:r>
      <w:r>
        <w:rPr>
          <w:rStyle w:val="Refdenotaalpie"/>
          <w:rFonts w:ascii="Arial" w:hAnsi="Arial" w:cs="Arial"/>
        </w:rPr>
        <w:footnoteReference w:id="48"/>
      </w:r>
      <w:r>
        <w:rPr>
          <w:rFonts w:ascii="Arial" w:hAnsi="Arial" w:cs="Arial"/>
        </w:rPr>
        <w:t>.</w:t>
      </w:r>
      <w:r w:rsidRPr="0039118B">
        <w:t xml:space="preserve"> </w:t>
      </w:r>
      <w:r w:rsidRPr="0039118B">
        <w:rPr>
          <w:rFonts w:ascii="Arial" w:hAnsi="Arial" w:cs="Arial"/>
        </w:rPr>
        <w:t xml:space="preserve">Adicionalmente, </w:t>
      </w:r>
      <w:r>
        <w:rPr>
          <w:rFonts w:ascii="Arial" w:hAnsi="Arial" w:cs="Arial"/>
        </w:rPr>
        <w:t xml:space="preserve">los médicos dedicados a la atención del paciente gravemente enfermo </w:t>
      </w:r>
      <w:r w:rsidRPr="0039118B">
        <w:rPr>
          <w:rFonts w:ascii="Arial" w:hAnsi="Arial" w:cs="Arial"/>
        </w:rPr>
        <w:t>–para ser vigentes– deberán tener una sólida formación</w:t>
      </w:r>
      <w:r>
        <w:rPr>
          <w:rFonts w:ascii="Arial" w:hAnsi="Arial" w:cs="Arial"/>
        </w:rPr>
        <w:t xml:space="preserve">– las actividades académicas deberán incorporar los temas que actualmente son una necesidad y demanda– </w:t>
      </w:r>
      <w:r w:rsidRPr="0039118B">
        <w:rPr>
          <w:rFonts w:ascii="Arial" w:hAnsi="Arial" w:cs="Arial"/>
        </w:rPr>
        <w:t xml:space="preserve"> un ágil acceso a la información, a programas de educación continua por medios electrónicos, a la enseñanza virtual, a entrenamiento en simuladores y a producir conocimiento a través de la investigación, así como a estar comprometidos en la enseñanza de la medicina y su especialidad, sin dejar de lado el entorno normativo, ético, moral y bioético que debe regir su desarrollo profesional</w:t>
      </w:r>
      <w:r>
        <w:rPr>
          <w:rFonts w:ascii="Arial" w:hAnsi="Arial" w:cs="Arial"/>
        </w:rPr>
        <w:t xml:space="preserve"> </w:t>
      </w:r>
      <w:r>
        <w:rPr>
          <w:rStyle w:val="Refdenotaalpie"/>
          <w:rFonts w:ascii="Arial" w:hAnsi="Arial" w:cs="Arial"/>
        </w:rPr>
        <w:footnoteReference w:id="49"/>
      </w:r>
      <w:r>
        <w:rPr>
          <w:rFonts w:ascii="Arial" w:hAnsi="Arial" w:cs="Arial"/>
        </w:rPr>
        <w:t xml:space="preserve"> </w:t>
      </w:r>
      <w:r>
        <w:rPr>
          <w:rStyle w:val="Refdenotaalpie"/>
          <w:rFonts w:ascii="Arial" w:hAnsi="Arial" w:cs="Arial"/>
        </w:rPr>
        <w:footnoteReference w:id="50"/>
      </w:r>
      <w:r w:rsidRPr="0039118B">
        <w:rPr>
          <w:rFonts w:ascii="Arial" w:hAnsi="Arial" w:cs="Arial"/>
        </w:rPr>
        <w:t>.</w:t>
      </w:r>
    </w:p>
    <w:p w:rsidR="007A3C36" w:rsidRDefault="004D4002" w:rsidP="00FC4954">
      <w:pPr>
        <w:spacing w:after="0" w:line="240" w:lineRule="auto"/>
        <w:ind w:right="-81"/>
        <w:jc w:val="both"/>
        <w:rPr>
          <w:rFonts w:ascii="Arial" w:eastAsia="Times New Roman" w:hAnsi="Arial" w:cs="Arial"/>
          <w:b/>
          <w:color w:val="000000"/>
          <w:szCs w:val="24"/>
          <w:lang w:bidi="en-US"/>
        </w:rPr>
      </w:pPr>
      <w:r>
        <w:rPr>
          <w:rFonts w:ascii="Arial" w:eastAsia="Times New Roman" w:hAnsi="Arial" w:cs="Arial"/>
          <w:b/>
          <w:color w:val="000000"/>
          <w:szCs w:val="24"/>
          <w:lang w:bidi="en-US"/>
        </w:rPr>
        <w:t xml:space="preserve">III. </w:t>
      </w:r>
      <w:r w:rsidR="00FD48F7" w:rsidRPr="00FD48F7">
        <w:rPr>
          <w:rFonts w:ascii="Arial" w:eastAsia="Times New Roman" w:hAnsi="Arial" w:cs="Arial"/>
          <w:b/>
          <w:color w:val="000000"/>
          <w:szCs w:val="24"/>
          <w:lang w:bidi="en-US"/>
        </w:rPr>
        <w:t>MARCO NORMATIVO</w:t>
      </w:r>
    </w:p>
    <w:p w:rsidR="00FC4954" w:rsidRPr="00FD48F7" w:rsidRDefault="00FC4954" w:rsidP="00FC4954">
      <w:pPr>
        <w:spacing w:after="0" w:line="240" w:lineRule="auto"/>
        <w:ind w:right="-81"/>
        <w:jc w:val="both"/>
        <w:rPr>
          <w:rFonts w:ascii="Arial" w:eastAsia="Times New Roman" w:hAnsi="Arial" w:cs="Arial"/>
          <w:b/>
          <w:color w:val="000000"/>
          <w:szCs w:val="24"/>
          <w:lang w:bidi="en-US"/>
        </w:rPr>
      </w:pPr>
    </w:p>
    <w:p w:rsidR="002606AE" w:rsidRPr="00CA1BB8" w:rsidRDefault="002B17C0" w:rsidP="00FC4954">
      <w:pPr>
        <w:spacing w:after="0" w:line="240" w:lineRule="auto"/>
        <w:jc w:val="both"/>
        <w:rPr>
          <w:rFonts w:ascii="Arial" w:hAnsi="Arial" w:cs="Arial"/>
          <w:b/>
          <w:smallCaps/>
          <w:color w:val="000000" w:themeColor="text1"/>
        </w:rPr>
      </w:pPr>
      <w:r>
        <w:rPr>
          <w:rFonts w:ascii="Arial" w:hAnsi="Arial" w:cs="Arial"/>
          <w:b/>
          <w:smallCaps/>
          <w:color w:val="000000" w:themeColor="text1"/>
        </w:rPr>
        <w:t xml:space="preserve">3.1. </w:t>
      </w:r>
      <w:r w:rsidR="002606AE" w:rsidRPr="00CA1BB8">
        <w:rPr>
          <w:rFonts w:ascii="Arial" w:hAnsi="Arial" w:cs="Arial"/>
          <w:b/>
          <w:smallCaps/>
          <w:color w:val="000000" w:themeColor="text1"/>
        </w:rPr>
        <w:t>Constitución Política de los Estados Unidos Mexicanos</w:t>
      </w:r>
    </w:p>
    <w:p w:rsidR="002606AE" w:rsidRPr="00CA1BB8" w:rsidRDefault="002606AE" w:rsidP="002606AE">
      <w:pPr>
        <w:spacing w:after="0" w:line="360" w:lineRule="auto"/>
        <w:jc w:val="both"/>
        <w:rPr>
          <w:rFonts w:ascii="Arial" w:hAnsi="Arial" w:cs="Arial"/>
          <w:color w:val="000000" w:themeColor="text1"/>
          <w:lang w:eastAsia="es-MX"/>
        </w:rPr>
      </w:pPr>
      <w:r w:rsidRPr="00CA1BB8">
        <w:rPr>
          <w:rFonts w:ascii="Arial" w:hAnsi="Arial" w:cs="Arial"/>
          <w:b/>
          <w:smallCaps/>
          <w:color w:val="000000" w:themeColor="text1"/>
        </w:rPr>
        <w:t>Artículo 3°</w:t>
      </w:r>
      <w:r w:rsidRPr="00E454FB">
        <w:rPr>
          <w:rStyle w:val="Refdenotaalpie"/>
          <w:rFonts w:ascii="Arial" w:hAnsi="Arial"/>
          <w:smallCaps/>
          <w:color w:val="000000" w:themeColor="text1"/>
        </w:rPr>
        <w:footnoteReference w:id="51"/>
      </w:r>
      <w:r w:rsidRPr="00CA1BB8">
        <w:rPr>
          <w:rFonts w:ascii="Arial" w:hAnsi="Arial" w:cs="Arial"/>
          <w:smallCaps/>
          <w:color w:val="000000" w:themeColor="text1"/>
        </w:rPr>
        <w:t>.</w:t>
      </w:r>
      <w:r w:rsidRPr="00CA1BB8">
        <w:rPr>
          <w:rFonts w:ascii="Arial" w:hAnsi="Arial" w:cs="Arial"/>
          <w:color w:val="000000" w:themeColor="text1"/>
        </w:rPr>
        <w:t xml:space="preserve"> Todo individuo tiene derecho a recibir Educación. El Estado –Federación, Estados, </w:t>
      </w:r>
      <w:r>
        <w:rPr>
          <w:rFonts w:ascii="Arial" w:hAnsi="Arial" w:cs="Arial"/>
          <w:color w:val="000000" w:themeColor="text1"/>
        </w:rPr>
        <w:t>Ciudad de México</w:t>
      </w:r>
      <w:r w:rsidRPr="00CA1BB8">
        <w:rPr>
          <w:rFonts w:ascii="Arial" w:hAnsi="Arial" w:cs="Arial"/>
          <w:color w:val="000000" w:themeColor="text1"/>
        </w:rPr>
        <w:t xml:space="preserve"> y Municipios–, </w:t>
      </w:r>
      <w:r w:rsidRPr="00E454FB">
        <w:rPr>
          <w:rFonts w:ascii="Arial" w:hAnsi="Arial" w:cs="Arial"/>
          <w:color w:val="000000" w:themeColor="text1"/>
        </w:rPr>
        <w:t>impartirá educación preescolar, primaria, secundaria y media superior. La educación preescolar, primaria y secundaria conforman la educación básica; ésta y la media superior serán obligatorias</w:t>
      </w:r>
      <w:r w:rsidRPr="00CA1BB8">
        <w:rPr>
          <w:rFonts w:ascii="Arial" w:hAnsi="Arial" w:cs="Arial"/>
          <w:color w:val="000000" w:themeColor="text1"/>
        </w:rPr>
        <w:t>.</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E454FB">
        <w:rPr>
          <w:rFonts w:ascii="Arial" w:hAnsi="Arial" w:cs="Arial"/>
          <w:color w:val="000000" w:themeColor="text1"/>
        </w:rPr>
        <w:t xml:space="preserve">La educación que imparta el Estado tenderá a desarrollar armónicamente, todas las facultades del ser humano y fomentará en él, a la vez, el amor a la Patria, el respeto a los </w:t>
      </w:r>
      <w:r w:rsidRPr="00E454FB">
        <w:rPr>
          <w:rFonts w:ascii="Arial" w:hAnsi="Arial" w:cs="Arial"/>
          <w:color w:val="000000" w:themeColor="text1"/>
        </w:rPr>
        <w:lastRenderedPageBreak/>
        <w:t>derechos humanos y la conciencia de la solidaridad internacional, en la independencia y en la justicia</w:t>
      </w:r>
      <w:r>
        <w:rPr>
          <w:rStyle w:val="Refdenotaalpie"/>
          <w:rFonts w:ascii="Arial" w:hAnsi="Arial"/>
          <w:color w:val="000000" w:themeColor="text1"/>
        </w:rPr>
        <w:footnoteReference w:id="52"/>
      </w:r>
      <w:r w:rsidRPr="00E454FB">
        <w:rPr>
          <w:rFonts w:ascii="Arial" w:hAnsi="Arial" w:cs="Arial"/>
          <w:color w:val="000000" w:themeColor="text1"/>
        </w:rPr>
        <w:t>.</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lang w:eastAsia="es-MX"/>
        </w:rPr>
      </w:pPr>
      <w:r w:rsidRPr="00CA1BB8">
        <w:rPr>
          <w:rFonts w:ascii="Arial" w:hAnsi="Arial" w:cs="Arial"/>
          <w:color w:val="000000" w:themeColor="text1"/>
        </w:rPr>
        <w:t>I. Garantizada por el artículo 24 la libertad de creencias, dicha Educación será laica y, por tanto, se mantendrá por completo ajena a cualquier doctrina religiosa</w:t>
      </w:r>
      <w:r w:rsidRPr="00CA1BB8">
        <w:rPr>
          <w:rStyle w:val="Refdenotaalpie"/>
          <w:rFonts w:ascii="Arial" w:hAnsi="Arial" w:cs="Arial"/>
          <w:color w:val="000000" w:themeColor="text1"/>
        </w:rPr>
        <w:footnoteReference w:id="53"/>
      </w:r>
      <w:r w:rsidRPr="00CA1BB8">
        <w:rPr>
          <w:rFonts w:ascii="Arial" w:hAnsi="Arial" w:cs="Arial"/>
          <w:color w:val="000000" w:themeColor="text1"/>
        </w:rPr>
        <w:t xml:space="preserve">. </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lang w:eastAsia="es-MX"/>
        </w:rPr>
      </w:pPr>
      <w:r w:rsidRPr="00CA1BB8">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CA1BB8">
        <w:rPr>
          <w:rStyle w:val="Refdenotaalpie"/>
          <w:rFonts w:ascii="Arial" w:hAnsi="Arial" w:cs="Arial"/>
          <w:color w:val="000000" w:themeColor="text1"/>
        </w:rPr>
        <w:footnoteReference w:id="54"/>
      </w:r>
      <w:r w:rsidRPr="00CA1BB8">
        <w:rPr>
          <w:rFonts w:ascii="Arial" w:hAnsi="Arial" w:cs="Arial"/>
          <w:color w:val="000000" w:themeColor="text1"/>
        </w:rPr>
        <w:t xml:space="preserve">. </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Además: </w:t>
      </w:r>
    </w:p>
    <w:p w:rsidR="002606AE" w:rsidRPr="00CA1BB8" w:rsidRDefault="002606AE" w:rsidP="002606AE">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2606AE" w:rsidRDefault="002606AE" w:rsidP="002606AE">
      <w:pPr>
        <w:spacing w:after="0" w:line="360" w:lineRule="auto"/>
        <w:ind w:left="708"/>
        <w:jc w:val="both"/>
        <w:rPr>
          <w:rFonts w:ascii="Arial" w:hAnsi="Arial" w:cs="Arial"/>
          <w:color w:val="000000" w:themeColor="text1"/>
        </w:rPr>
      </w:pPr>
      <w:r w:rsidRPr="00CA1BB8">
        <w:rPr>
          <w:rFonts w:ascii="Arial" w:hAnsi="Arial" w:cs="Arial"/>
          <w:color w:val="000000" w:themeColor="text1"/>
        </w:rPr>
        <w:t xml:space="preserve">B) Será </w:t>
      </w:r>
      <w:r>
        <w:rPr>
          <w:rFonts w:ascii="Arial" w:hAnsi="Arial" w:cs="Arial"/>
          <w:color w:val="000000" w:themeColor="text1"/>
        </w:rPr>
        <w:t>n</w:t>
      </w:r>
      <w:r w:rsidRPr="00CA1BB8">
        <w:rPr>
          <w:rFonts w:ascii="Arial" w:hAnsi="Arial" w:cs="Arial"/>
          <w:color w:val="000000" w:themeColor="text1"/>
        </w:rPr>
        <w:t>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w:t>
      </w:r>
      <w:r>
        <w:rPr>
          <w:rFonts w:ascii="Arial" w:hAnsi="Arial" w:cs="Arial"/>
          <w:color w:val="000000" w:themeColor="text1"/>
        </w:rPr>
        <w:t>ura y,</w:t>
      </w:r>
      <w:r w:rsidRPr="00CA1BB8">
        <w:rPr>
          <w:rFonts w:ascii="Arial" w:hAnsi="Arial" w:cs="Arial"/>
          <w:color w:val="000000" w:themeColor="text1"/>
        </w:rPr>
        <w:t xml:space="preserve"> </w:t>
      </w:r>
    </w:p>
    <w:p w:rsidR="002606AE" w:rsidRPr="00CA1BB8" w:rsidRDefault="002606AE" w:rsidP="002606AE">
      <w:pPr>
        <w:spacing w:after="0" w:line="360" w:lineRule="auto"/>
        <w:ind w:left="708"/>
        <w:jc w:val="both"/>
        <w:rPr>
          <w:rFonts w:ascii="Arial" w:hAnsi="Arial" w:cs="Arial"/>
          <w:color w:val="000000" w:themeColor="text1"/>
          <w:lang w:eastAsia="es-MX"/>
        </w:rPr>
      </w:pPr>
      <w:r w:rsidRPr="00CA1BB8">
        <w:rPr>
          <w:rFonts w:ascii="Arial" w:hAnsi="Arial" w:cs="Arial"/>
          <w:color w:val="000000" w:themeColor="text1"/>
        </w:rPr>
        <w:t>C)</w:t>
      </w:r>
      <w:r>
        <w:rPr>
          <w:rFonts w:ascii="Arial" w:hAnsi="Arial" w:cs="Arial"/>
          <w:color w:val="000000" w:themeColor="text1"/>
        </w:rPr>
        <w:t xml:space="preserve"> C</w:t>
      </w:r>
      <w:r w:rsidRPr="00CA1BB8">
        <w:rPr>
          <w:rFonts w:ascii="Arial" w:hAnsi="Arial" w:cs="Arial"/>
          <w:color w:val="000000" w:themeColor="text1"/>
        </w:rPr>
        <w:t>ontribuirá a la mejor convivencia humana, a fin de fortalecer el aprecio y respeto por la diversidad cultural, la dignidad de la persona, la integridad de la familia,</w:t>
      </w:r>
      <w:r>
        <w:rPr>
          <w:rFonts w:ascii="Arial" w:hAnsi="Arial" w:cs="Arial"/>
          <w:color w:val="000000" w:themeColor="text1"/>
        </w:rPr>
        <w:t xml:space="preserve"> </w:t>
      </w:r>
      <w:r w:rsidRPr="00CA1BB8">
        <w:rPr>
          <w:rFonts w:ascii="Arial" w:hAnsi="Arial" w:cs="Arial"/>
          <w:color w:val="000000" w:themeColor="text1"/>
        </w:rPr>
        <w:t>la convicción del interés general de la sociedad, los ideales de fraternidad e igualdad de derechos de todos, evitando los privilegios de razas, de religión, de grupos, de sexos o de individuos</w:t>
      </w:r>
      <w:r w:rsidRPr="00CA1BB8">
        <w:rPr>
          <w:rStyle w:val="Refdenotaalpie"/>
          <w:rFonts w:ascii="Arial" w:hAnsi="Arial" w:cs="Arial"/>
          <w:color w:val="000000" w:themeColor="text1"/>
        </w:rPr>
        <w:footnoteReference w:id="55"/>
      </w:r>
      <w:r w:rsidRPr="00CA1BB8">
        <w:rPr>
          <w:rFonts w:ascii="Arial" w:hAnsi="Arial" w:cs="Arial"/>
          <w:color w:val="000000" w:themeColor="text1"/>
        </w:rPr>
        <w:t xml:space="preserve">. </w:t>
      </w:r>
    </w:p>
    <w:p w:rsidR="002606AE" w:rsidRPr="00CA1BB8" w:rsidRDefault="002606AE" w:rsidP="002606AE">
      <w:pPr>
        <w:spacing w:after="0" w:line="360" w:lineRule="auto"/>
        <w:jc w:val="both"/>
        <w:rPr>
          <w:rFonts w:ascii="Arial" w:hAnsi="Arial" w:cs="Arial"/>
          <w:color w:val="000000" w:themeColor="text1"/>
          <w:lang w:eastAsia="es-MX"/>
        </w:rPr>
      </w:pPr>
      <w:r>
        <w:rPr>
          <w:rFonts w:ascii="Arial" w:hAnsi="Arial" w:cs="Arial"/>
          <w:color w:val="000000" w:themeColor="text1"/>
          <w:lang w:eastAsia="es-MX"/>
        </w:rPr>
        <w:t>(…)</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III. Para dar pleno cumplimiento a lo dispuesto en el segundo párrafo y en la fracción II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determinará los planes y programas de estudio de la </w:t>
      </w:r>
      <w:r>
        <w:rPr>
          <w:rFonts w:ascii="Arial" w:hAnsi="Arial" w:cs="Arial"/>
          <w:color w:val="000000" w:themeColor="text1"/>
        </w:rPr>
        <w:t>e</w:t>
      </w:r>
      <w:r w:rsidRPr="00CA1BB8">
        <w:rPr>
          <w:rFonts w:ascii="Arial" w:hAnsi="Arial" w:cs="Arial"/>
          <w:color w:val="000000" w:themeColor="text1"/>
        </w:rPr>
        <w:t xml:space="preserve">ducación preescolar, primaria, secundaria y normal para toda la </w:t>
      </w:r>
      <w:r>
        <w:rPr>
          <w:rFonts w:ascii="Arial" w:hAnsi="Arial" w:cs="Arial"/>
          <w:color w:val="000000" w:themeColor="text1"/>
        </w:rPr>
        <w:t>R</w:t>
      </w:r>
      <w:r w:rsidRPr="00CA1BB8">
        <w:rPr>
          <w:rFonts w:ascii="Arial" w:hAnsi="Arial" w:cs="Arial"/>
          <w:color w:val="000000" w:themeColor="text1"/>
        </w:rPr>
        <w:t xml:space="preserve">epública, para tales efectos,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considerará la opinión de los gobiernos de las entidades federativas, así </w:t>
      </w:r>
      <w:r w:rsidRPr="00CA1BB8">
        <w:rPr>
          <w:rFonts w:ascii="Arial" w:hAnsi="Arial" w:cs="Arial"/>
          <w:color w:val="000000" w:themeColor="text1"/>
        </w:rPr>
        <w:lastRenderedPageBreak/>
        <w:t xml:space="preserve">como de los diversos sectores sociales involucrados en la </w:t>
      </w:r>
      <w:r>
        <w:rPr>
          <w:rFonts w:ascii="Arial" w:hAnsi="Arial" w:cs="Arial"/>
          <w:color w:val="000000" w:themeColor="text1"/>
        </w:rPr>
        <w:t>e</w:t>
      </w:r>
      <w:r w:rsidRPr="00CA1BB8">
        <w:rPr>
          <w:rFonts w:ascii="Arial" w:hAnsi="Arial" w:cs="Arial"/>
          <w:color w:val="000000" w:themeColor="text1"/>
        </w:rPr>
        <w:t>ducación,</w:t>
      </w:r>
      <w:r>
        <w:rPr>
          <w:rFonts w:ascii="Arial" w:hAnsi="Arial" w:cs="Arial"/>
          <w:color w:val="000000" w:themeColor="text1"/>
        </w:rPr>
        <w:t>(…)</w:t>
      </w:r>
      <w:r w:rsidRPr="00CA1BB8">
        <w:rPr>
          <w:rFonts w:ascii="Arial" w:hAnsi="Arial" w:cs="Arial"/>
          <w:color w:val="000000" w:themeColor="text1"/>
        </w:rPr>
        <w:t xml:space="preserve"> en los términos que la ley señale</w:t>
      </w:r>
      <w:r w:rsidRPr="00CA1BB8">
        <w:rPr>
          <w:rStyle w:val="Refdenotaalpie"/>
          <w:rFonts w:ascii="Arial" w:hAnsi="Arial" w:cs="Arial"/>
          <w:color w:val="000000" w:themeColor="text1"/>
        </w:rPr>
        <w:footnoteReference w:id="56"/>
      </w:r>
      <w:r w:rsidRPr="00CA1BB8">
        <w:rPr>
          <w:rFonts w:ascii="Arial" w:hAnsi="Arial" w:cs="Arial"/>
          <w:color w:val="000000" w:themeColor="text1"/>
        </w:rPr>
        <w:t xml:space="preserve">. </w:t>
      </w:r>
    </w:p>
    <w:p w:rsidR="002606AE" w:rsidRPr="00CA1BB8" w:rsidRDefault="002606AE" w:rsidP="002606AE">
      <w:pPr>
        <w:spacing w:after="0" w:line="360" w:lineRule="auto"/>
        <w:jc w:val="both"/>
        <w:rPr>
          <w:rFonts w:ascii="Arial" w:hAnsi="Arial" w:cs="Arial"/>
          <w:color w:val="000000" w:themeColor="text1"/>
          <w:lang w:eastAsia="es-MX"/>
        </w:rPr>
      </w:pPr>
      <w:r>
        <w:rPr>
          <w:rFonts w:ascii="Arial" w:hAnsi="Arial" w:cs="Arial"/>
          <w:color w:val="000000" w:themeColor="text1"/>
          <w:lang w:eastAsia="es-MX"/>
        </w:rPr>
        <w:t>(…)</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IV. Toda la Educación que el estado imparta será gratuita</w:t>
      </w:r>
      <w:r w:rsidRPr="00CA1BB8">
        <w:rPr>
          <w:rStyle w:val="Refdenotaalpie"/>
          <w:rFonts w:ascii="Arial" w:hAnsi="Arial" w:cs="Arial"/>
          <w:color w:val="000000" w:themeColor="text1"/>
        </w:rPr>
        <w:footnoteReference w:id="57"/>
      </w:r>
      <w:r w:rsidRPr="00CA1BB8">
        <w:rPr>
          <w:rFonts w:ascii="Arial" w:hAnsi="Arial" w:cs="Arial"/>
          <w:color w:val="000000" w:themeColor="text1"/>
        </w:rPr>
        <w:t xml:space="preserve">. </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V. Además de impartir la </w:t>
      </w:r>
      <w:r>
        <w:rPr>
          <w:rFonts w:ascii="Arial" w:hAnsi="Arial" w:cs="Arial"/>
          <w:color w:val="000000" w:themeColor="text1"/>
        </w:rPr>
        <w:t>e</w:t>
      </w:r>
      <w:r w:rsidRPr="00CA1BB8">
        <w:rPr>
          <w:rFonts w:ascii="Arial" w:hAnsi="Arial" w:cs="Arial"/>
          <w:color w:val="000000" w:themeColor="text1"/>
        </w:rPr>
        <w:t xml:space="preserve">ducación preescolar, primaria, secundaria y media superior, señaladas en el primer párrafo, el Estado promoverá y atenderá todos los tipos y modalidades educativos – incluyendo la </w:t>
      </w:r>
      <w:r>
        <w:rPr>
          <w:rFonts w:ascii="Arial" w:hAnsi="Arial" w:cs="Arial"/>
          <w:color w:val="000000" w:themeColor="text1"/>
        </w:rPr>
        <w:t>e</w:t>
      </w:r>
      <w:r w:rsidRPr="00CA1BB8">
        <w:rPr>
          <w:rFonts w:ascii="Arial" w:hAnsi="Arial" w:cs="Arial"/>
          <w:color w:val="000000" w:themeColor="text1"/>
        </w:rPr>
        <w:t xml:space="preserve">ducación inicial y a la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necesarios para el desarrollo de la nación, apoyará la investigación científica y tecnológica, y alentará el fortalecimiento y difusión de nuestra cultura</w:t>
      </w:r>
      <w:r w:rsidRPr="00CA1BB8">
        <w:rPr>
          <w:rStyle w:val="Refdenotaalpie"/>
          <w:rFonts w:ascii="Arial" w:hAnsi="Arial" w:cs="Arial"/>
          <w:color w:val="000000" w:themeColor="text1"/>
        </w:rPr>
        <w:footnoteReference w:id="58"/>
      </w:r>
      <w:r w:rsidRPr="00CA1BB8">
        <w:rPr>
          <w:rFonts w:ascii="Arial" w:hAnsi="Arial" w:cs="Arial"/>
          <w:color w:val="000000" w:themeColor="text1"/>
        </w:rPr>
        <w:t xml:space="preserve">. </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VI. Los particulares podrán impartir </w:t>
      </w:r>
      <w:r>
        <w:rPr>
          <w:rFonts w:ascii="Arial" w:hAnsi="Arial" w:cs="Arial"/>
          <w:color w:val="000000" w:themeColor="text1"/>
        </w:rPr>
        <w:t>e</w:t>
      </w:r>
      <w:r w:rsidRPr="00CA1BB8">
        <w:rPr>
          <w:rFonts w:ascii="Arial" w:hAnsi="Arial" w:cs="Arial"/>
          <w:color w:val="000000" w:themeColor="text1"/>
        </w:rPr>
        <w:t>ducación en todos sus tipos y modalidades</w:t>
      </w:r>
      <w:r>
        <w:rPr>
          <w:rFonts w:ascii="Arial" w:hAnsi="Arial" w:cs="Arial"/>
          <w:color w:val="000000" w:themeColor="text1"/>
        </w:rPr>
        <w:t>. En</w:t>
      </w:r>
      <w:r w:rsidRPr="00CA1BB8">
        <w:rPr>
          <w:rFonts w:ascii="Arial" w:hAnsi="Arial" w:cs="Arial"/>
          <w:color w:val="000000" w:themeColor="text1"/>
        </w:rPr>
        <w:t xml:space="preserve"> los términos que establezca la ley, el </w:t>
      </w:r>
      <w:r>
        <w:rPr>
          <w:rFonts w:ascii="Arial" w:hAnsi="Arial" w:cs="Arial"/>
          <w:color w:val="000000" w:themeColor="text1"/>
        </w:rPr>
        <w:t>E</w:t>
      </w:r>
      <w:r w:rsidRPr="00CA1BB8">
        <w:rPr>
          <w:rFonts w:ascii="Arial" w:hAnsi="Arial" w:cs="Arial"/>
          <w:color w:val="000000" w:themeColor="text1"/>
        </w:rPr>
        <w:t>stado otorgará y reiterará el reconocimiento de validez oficial a los estudios que se realicen en planteles particulares</w:t>
      </w:r>
      <w:r>
        <w:rPr>
          <w:rFonts w:ascii="Arial" w:hAnsi="Arial" w:cs="Arial"/>
          <w:color w:val="000000" w:themeColor="text1"/>
        </w:rPr>
        <w:t>. E</w:t>
      </w:r>
      <w:r w:rsidRPr="00CA1BB8">
        <w:rPr>
          <w:rFonts w:ascii="Arial" w:hAnsi="Arial" w:cs="Arial"/>
          <w:color w:val="000000" w:themeColor="text1"/>
        </w:rPr>
        <w:t xml:space="preserve">n el caso de la </w:t>
      </w:r>
      <w:r>
        <w:rPr>
          <w:rFonts w:ascii="Arial" w:hAnsi="Arial" w:cs="Arial"/>
          <w:color w:val="000000" w:themeColor="text1"/>
        </w:rPr>
        <w:t>e</w:t>
      </w:r>
      <w:r w:rsidRPr="00CA1BB8">
        <w:rPr>
          <w:rFonts w:ascii="Arial" w:hAnsi="Arial" w:cs="Arial"/>
          <w:color w:val="000000" w:themeColor="text1"/>
        </w:rPr>
        <w:t>ducación preescolar, primaria, secundaria y normal, los particulares deberán</w:t>
      </w:r>
      <w:r>
        <w:rPr>
          <w:rFonts w:ascii="Arial" w:hAnsi="Arial" w:cs="Arial"/>
          <w:color w:val="000000" w:themeColor="text1"/>
        </w:rPr>
        <w:t>:</w:t>
      </w:r>
    </w:p>
    <w:p w:rsidR="002606AE" w:rsidRDefault="002606AE" w:rsidP="002606AE">
      <w:pPr>
        <w:spacing w:after="0" w:line="360" w:lineRule="auto"/>
        <w:jc w:val="both"/>
        <w:rPr>
          <w:rFonts w:ascii="Helvetica" w:hAnsi="Helvetica" w:cs="Arial"/>
          <w:color w:val="3F3F3F"/>
          <w:sz w:val="23"/>
          <w:szCs w:val="23"/>
          <w:lang w:val="es-ES"/>
        </w:rPr>
      </w:pPr>
      <w:r>
        <w:rPr>
          <w:rFonts w:ascii="Helvetica" w:hAnsi="Helvetica" w:cs="Arial"/>
          <w:color w:val="3F3F3F"/>
          <w:sz w:val="23"/>
          <w:szCs w:val="23"/>
          <w:lang w:val="es-ES"/>
        </w:rPr>
        <w:t xml:space="preserve">a) Impartir la educación con apego a los mismos fines y criterios que establecen el segundo párrafo y la fracción II, así como cumplir los planes y programas a que se refiere la fracción III, y </w:t>
      </w:r>
    </w:p>
    <w:p w:rsidR="002606AE" w:rsidRPr="00CA1BB8" w:rsidRDefault="002606AE" w:rsidP="002606AE">
      <w:pPr>
        <w:spacing w:after="0" w:line="360" w:lineRule="auto"/>
        <w:jc w:val="both"/>
        <w:rPr>
          <w:rFonts w:ascii="Arial" w:hAnsi="Arial" w:cs="Arial"/>
          <w:color w:val="000000" w:themeColor="text1"/>
          <w:lang w:eastAsia="es-MX"/>
        </w:rPr>
      </w:pPr>
      <w:r>
        <w:rPr>
          <w:rFonts w:ascii="Helvetica" w:hAnsi="Helvetica" w:cs="Arial"/>
          <w:color w:val="3F3F3F"/>
          <w:sz w:val="23"/>
          <w:szCs w:val="23"/>
          <w:lang w:val="es-ES"/>
        </w:rPr>
        <w:t>b) Obtener previamente, en cada caso, la autorización expresa del poder público, en los términos que establezca la ley</w:t>
      </w:r>
      <w:r w:rsidRPr="00CA1BB8">
        <w:rPr>
          <w:rFonts w:ascii="Arial" w:hAnsi="Arial" w:cs="Arial"/>
          <w:color w:val="000000" w:themeColor="text1"/>
        </w:rPr>
        <w:t xml:space="preserve"> </w:t>
      </w:r>
    </w:p>
    <w:p w:rsidR="002606AE" w:rsidRDefault="002606AE" w:rsidP="002606AE">
      <w:pPr>
        <w:spacing w:after="0" w:line="360" w:lineRule="auto"/>
        <w:jc w:val="both"/>
        <w:rPr>
          <w:rFonts w:ascii="Arial" w:hAnsi="Arial" w:cs="Arial"/>
          <w:color w:val="000000" w:themeColor="text1"/>
        </w:rPr>
      </w:pPr>
    </w:p>
    <w:p w:rsidR="002606AE"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VII. Las </w:t>
      </w:r>
      <w:r>
        <w:rPr>
          <w:rFonts w:ascii="Arial" w:hAnsi="Arial" w:cs="Arial"/>
          <w:color w:val="000000" w:themeColor="text1"/>
        </w:rPr>
        <w:t>u</w:t>
      </w:r>
      <w:r w:rsidRPr="00CA1BB8">
        <w:rPr>
          <w:rFonts w:ascii="Arial" w:hAnsi="Arial" w:cs="Arial"/>
          <w:color w:val="000000" w:themeColor="text1"/>
        </w:rPr>
        <w:t xml:space="preserve">niversidades y las demás </w:t>
      </w:r>
      <w:r>
        <w:rPr>
          <w:rFonts w:ascii="Arial" w:hAnsi="Arial" w:cs="Arial"/>
          <w:color w:val="000000" w:themeColor="text1"/>
        </w:rPr>
        <w:t>i</w:t>
      </w:r>
      <w:r w:rsidRPr="00CA1BB8">
        <w:rPr>
          <w:rFonts w:ascii="Arial" w:hAnsi="Arial" w:cs="Arial"/>
          <w:color w:val="000000" w:themeColor="text1"/>
        </w:rPr>
        <w:t xml:space="preserve">nstituciones de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w:t>
      </w:r>
      <w:r>
        <w:rPr>
          <w:rFonts w:ascii="Arial" w:hAnsi="Arial" w:cs="Arial"/>
          <w:color w:val="000000" w:themeColor="text1"/>
        </w:rPr>
        <w:t>cusión de las ideas; determinará</w:t>
      </w:r>
      <w:r w:rsidRPr="00CA1BB8">
        <w:rPr>
          <w:rFonts w:ascii="Arial" w:hAnsi="Arial" w:cs="Arial"/>
          <w:color w:val="000000" w:themeColor="text1"/>
        </w:rPr>
        <w:t>n sus planes y programas; fijaran los términos de ingreso, promoción y permanencia de su personal académ</w:t>
      </w:r>
      <w:r>
        <w:rPr>
          <w:rFonts w:ascii="Arial" w:hAnsi="Arial" w:cs="Arial"/>
          <w:color w:val="000000" w:themeColor="text1"/>
        </w:rPr>
        <w:t>ico; y administrará</w:t>
      </w:r>
      <w:r w:rsidRPr="00CA1BB8">
        <w:rPr>
          <w:rFonts w:ascii="Arial" w:hAnsi="Arial" w:cs="Arial"/>
          <w:color w:val="000000" w:themeColor="text1"/>
        </w:rPr>
        <w:t xml:space="preserve">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w:t>
      </w:r>
      <w:r w:rsidRPr="00CA1BB8">
        <w:rPr>
          <w:rFonts w:ascii="Arial" w:hAnsi="Arial" w:cs="Arial"/>
          <w:color w:val="000000" w:themeColor="text1"/>
        </w:rPr>
        <w:lastRenderedPageBreak/>
        <w:t>autonomía, la libertad de cátedra e investigación y los fines de las Instituciones a que esta fracción se refiere, y</w:t>
      </w:r>
      <w:r w:rsidRPr="00CA1BB8">
        <w:rPr>
          <w:rStyle w:val="Refdenotaalpie"/>
          <w:rFonts w:ascii="Arial" w:hAnsi="Arial" w:cs="Arial"/>
          <w:color w:val="000000" w:themeColor="text1"/>
        </w:rPr>
        <w:footnoteReference w:id="59"/>
      </w:r>
      <w:r w:rsidRPr="00CA1BB8">
        <w:rPr>
          <w:rFonts w:ascii="Arial" w:hAnsi="Arial" w:cs="Arial"/>
          <w:color w:val="000000" w:themeColor="text1"/>
        </w:rPr>
        <w:t xml:space="preserve"> </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lang w:eastAsia="es-MX"/>
        </w:rPr>
      </w:pPr>
      <w:r w:rsidRPr="00CA1BB8">
        <w:rPr>
          <w:rFonts w:ascii="Arial" w:hAnsi="Arial" w:cs="Arial"/>
          <w:color w:val="000000" w:themeColor="text1"/>
        </w:rPr>
        <w:t xml:space="preserve">VIII. El Congreso de la Unión, con el fin de unificar y coordinar la </w:t>
      </w:r>
      <w:r>
        <w:rPr>
          <w:rFonts w:ascii="Arial" w:hAnsi="Arial" w:cs="Arial"/>
          <w:color w:val="000000" w:themeColor="text1"/>
        </w:rPr>
        <w:t>e</w:t>
      </w:r>
      <w:r w:rsidRPr="00CA1BB8">
        <w:rPr>
          <w:rFonts w:ascii="Arial" w:hAnsi="Arial" w:cs="Arial"/>
          <w:color w:val="000000" w:themeColor="text1"/>
        </w:rPr>
        <w:t xml:space="preserve">ducación en toda la República, expedirá las leyes necesarias destinadas a distribuir la función social educativa entre la Federación, los estados y los </w:t>
      </w:r>
      <w:r>
        <w:rPr>
          <w:rFonts w:ascii="Arial" w:hAnsi="Arial" w:cs="Arial"/>
          <w:color w:val="000000" w:themeColor="text1"/>
        </w:rPr>
        <w:t>M</w:t>
      </w:r>
      <w:r w:rsidRPr="00CA1BB8">
        <w:rPr>
          <w:rFonts w:ascii="Arial" w:hAnsi="Arial" w:cs="Arial"/>
          <w:color w:val="000000" w:themeColor="text1"/>
        </w:rPr>
        <w:t>unicipios, a fijar las aportaciones económicas correspondientes a ese servicio público y a señalar las sanciones aplicables a los funcionarios que no cumplan o no hagan cumplir las disposiciones relativas, lo mismo que a todos aquellos que las infrinjan</w:t>
      </w:r>
      <w:r w:rsidRPr="00CA1BB8">
        <w:rPr>
          <w:rStyle w:val="Refdenotaalpie"/>
          <w:rFonts w:ascii="Arial" w:hAnsi="Arial" w:cs="Arial"/>
          <w:color w:val="000000" w:themeColor="text1"/>
        </w:rPr>
        <w:footnoteReference w:id="60"/>
      </w:r>
      <w:r w:rsidRPr="00CA1BB8">
        <w:rPr>
          <w:rFonts w:ascii="Arial" w:hAnsi="Arial" w:cs="Arial"/>
          <w:color w:val="000000" w:themeColor="text1"/>
        </w:rPr>
        <w:t>.</w:t>
      </w:r>
    </w:p>
    <w:p w:rsidR="002606AE" w:rsidRPr="00CA1BB8" w:rsidRDefault="002606AE" w:rsidP="002606AE">
      <w:pPr>
        <w:spacing w:after="0" w:line="360" w:lineRule="auto"/>
        <w:jc w:val="both"/>
        <w:rPr>
          <w:rFonts w:ascii="Arial" w:hAnsi="Arial" w:cs="Arial"/>
          <w:b/>
          <w:smallCaps/>
          <w:color w:val="000000" w:themeColor="text1"/>
          <w:shd w:val="clear" w:color="auto" w:fill="FFFFFF" w:themeFill="background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shd w:val="clear" w:color="auto" w:fill="FFFFFF" w:themeFill="background1"/>
        </w:rPr>
        <w:t>Artículo 4°.</w:t>
      </w:r>
      <w:r w:rsidRPr="00CA1BB8">
        <w:rPr>
          <w:rFonts w:ascii="Arial" w:hAnsi="Arial" w:cs="Arial"/>
          <w:color w:val="000000" w:themeColor="text1"/>
        </w:rPr>
        <w:t xml:space="preserve"> …Toda persona tiene derecho a decidir de manera libre, responsable e informada sobre el número y el espaciamiento de sus hijos</w:t>
      </w:r>
      <w:r w:rsidRPr="00CA1BB8">
        <w:rPr>
          <w:rStyle w:val="Refdenotaalpie"/>
          <w:rFonts w:ascii="Arial" w:hAnsi="Arial" w:cs="Arial"/>
          <w:color w:val="000000" w:themeColor="text1"/>
        </w:rPr>
        <w:footnoteReference w:id="61"/>
      </w:r>
      <w:r w:rsidRPr="00CA1BB8">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CA1BB8">
        <w:rPr>
          <w:rStyle w:val="Refdenotaalpie"/>
          <w:rFonts w:ascii="Arial" w:hAnsi="Arial" w:cs="Arial"/>
          <w:color w:val="000000" w:themeColor="text1"/>
        </w:rPr>
        <w:footnoteReference w:id="62"/>
      </w:r>
      <w:r w:rsidRPr="00CA1BB8">
        <w:rPr>
          <w:rFonts w:ascii="Arial" w:hAnsi="Arial" w:cs="Arial"/>
          <w:color w:val="000000" w:themeColor="text1"/>
        </w:rPr>
        <w:t>.</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En los artículos anteriores se manifiesta el alineamiento a la normatividad planteada por la Constitución de nuestro país.</w:t>
      </w:r>
    </w:p>
    <w:p w:rsidR="002B17C0" w:rsidRDefault="002B17C0" w:rsidP="002606AE">
      <w:pPr>
        <w:spacing w:after="0" w:line="360" w:lineRule="auto"/>
        <w:jc w:val="both"/>
        <w:rPr>
          <w:rFonts w:ascii="Arial" w:hAnsi="Arial" w:cs="Arial"/>
          <w:color w:val="000000" w:themeColor="text1"/>
        </w:rPr>
      </w:pPr>
    </w:p>
    <w:p w:rsidR="002606AE" w:rsidRPr="00CA1BB8" w:rsidRDefault="002B17C0" w:rsidP="002606AE">
      <w:pPr>
        <w:spacing w:after="0" w:line="360" w:lineRule="auto"/>
        <w:jc w:val="both"/>
        <w:rPr>
          <w:rFonts w:ascii="Arial" w:hAnsi="Arial" w:cs="Arial"/>
          <w:color w:val="000000" w:themeColor="text1"/>
        </w:rPr>
      </w:pPr>
      <w:r>
        <w:rPr>
          <w:rFonts w:ascii="Arial" w:hAnsi="Arial" w:cs="Arial"/>
          <w:b/>
          <w:smallCaps/>
          <w:color w:val="000000" w:themeColor="text1"/>
        </w:rPr>
        <w:t xml:space="preserve">3.1. </w:t>
      </w:r>
      <w:r w:rsidR="002606AE" w:rsidRPr="00CA1BB8">
        <w:rPr>
          <w:rFonts w:ascii="Arial" w:hAnsi="Arial" w:cs="Arial"/>
          <w:b/>
          <w:smallCaps/>
          <w:color w:val="000000" w:themeColor="text1"/>
        </w:rPr>
        <w:t>Ley General de Educación</w:t>
      </w:r>
      <w:r w:rsidR="002606AE" w:rsidRPr="00CA1BB8">
        <w:rPr>
          <w:rFonts w:ascii="Arial" w:hAnsi="Arial" w:cs="Arial"/>
          <w:color w:val="000000" w:themeColor="text1"/>
        </w:rPr>
        <w:t xml:space="preserve">, 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002606AE" w:rsidRPr="00CA1BB8">
        <w:rPr>
          <w:rStyle w:val="Refdenotaalpie"/>
          <w:rFonts w:ascii="Arial" w:hAnsi="Arial" w:cs="Arial"/>
          <w:color w:val="000000" w:themeColor="text1"/>
        </w:rPr>
        <w:footnoteReference w:id="63"/>
      </w:r>
      <w:r w:rsidR="002606AE" w:rsidRPr="00CA1BB8">
        <w:rPr>
          <w:rFonts w:ascii="Arial" w:hAnsi="Arial" w:cs="Arial"/>
          <w:color w:val="000000" w:themeColor="text1"/>
        </w:rPr>
        <w:t>.</w:t>
      </w: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De igual manera se atiende esta </w:t>
      </w:r>
      <w:r>
        <w:rPr>
          <w:rFonts w:ascii="Arial" w:hAnsi="Arial" w:cs="Arial"/>
          <w:color w:val="000000" w:themeColor="text1"/>
        </w:rPr>
        <w:t>L</w:t>
      </w:r>
      <w:r w:rsidRPr="00CA1BB8">
        <w:rPr>
          <w:rFonts w:ascii="Arial" w:hAnsi="Arial" w:cs="Arial"/>
          <w:color w:val="000000" w:themeColor="text1"/>
        </w:rPr>
        <w:t>ey en lo referente a los Capítulos II, III y VI, en sus diferentes articulados donde se especifica lo siguiente:</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Capítulo ii. del federalismo educativo.</w:t>
      </w:r>
      <w:r w:rsidRPr="00CA1BB8">
        <w:rPr>
          <w:rFonts w:ascii="Arial" w:hAnsi="Arial" w:cs="Arial"/>
          <w:smallCaps/>
          <w:color w:val="000000" w:themeColor="text1"/>
        </w:rPr>
        <w:t xml:space="preserve"> </w:t>
      </w:r>
      <w:r w:rsidRPr="00CA1BB8">
        <w:rPr>
          <w:rFonts w:ascii="Arial" w:hAnsi="Arial" w:cs="Arial"/>
          <w:b/>
          <w:smallCaps/>
          <w:color w:val="000000" w:themeColor="text1"/>
        </w:rPr>
        <w:t>Artículo 24.-</w:t>
      </w:r>
      <w:r w:rsidRPr="00CA1BB8">
        <w:rPr>
          <w:rFonts w:ascii="Arial" w:hAnsi="Arial" w:cs="Arial"/>
          <w:smallCaps/>
          <w:color w:val="000000" w:themeColor="text1"/>
        </w:rPr>
        <w:t xml:space="preserve"> </w:t>
      </w:r>
      <w:r w:rsidRPr="00CA1BB8">
        <w:rPr>
          <w:rFonts w:ascii="Arial" w:hAnsi="Arial" w:cs="Arial"/>
          <w:color w:val="000000" w:themeColor="text1"/>
        </w:rPr>
        <w:t xml:space="preserve">Los beneficios directamente por los servicios educativos deberán prestar servicio social, en los casos y términos que </w:t>
      </w:r>
      <w:r w:rsidRPr="00CA1BB8">
        <w:rPr>
          <w:rFonts w:ascii="Arial" w:hAnsi="Arial" w:cs="Arial"/>
          <w:color w:val="000000" w:themeColor="text1"/>
        </w:rPr>
        <w:lastRenderedPageBreak/>
        <w:t>señalen las disposiciones reglamentarias correspondientes. En éstas se preverá la presentación del servicio social como requisito previo para obtener título o grado académico.</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sección cuarta.- de la evaluación del sistema educativo nacional</w:t>
      </w:r>
    </w:p>
    <w:p w:rsidR="002606AE" w:rsidRDefault="002606AE" w:rsidP="002606AE">
      <w:pPr>
        <w:spacing w:after="0" w:line="360" w:lineRule="auto"/>
        <w:jc w:val="both"/>
        <w:rPr>
          <w:rFonts w:ascii="Arial" w:hAnsi="Arial" w:cs="Arial"/>
          <w:b/>
          <w:smallCaps/>
          <w:color w:val="000000" w:themeColor="text1"/>
        </w:rPr>
      </w:pPr>
    </w:p>
    <w:p w:rsidR="002606AE"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29.</w:t>
      </w:r>
      <w:r w:rsidRPr="00CA1BB8">
        <w:rPr>
          <w:rFonts w:ascii="Arial" w:hAnsi="Arial" w:cs="Arial"/>
          <w:b/>
          <w:color w:val="000000" w:themeColor="text1"/>
        </w:rPr>
        <w:t>-</w:t>
      </w:r>
      <w:r>
        <w:rPr>
          <w:rFonts w:ascii="Arial" w:hAnsi="Arial" w:cs="Arial"/>
          <w:color w:val="000000" w:themeColor="text1"/>
        </w:rPr>
        <w:t xml:space="preserve"> Corresponde a Instituto Nacional para la Evaluación de la Educación (…) </w:t>
      </w:r>
    </w:p>
    <w:p w:rsidR="002606AE" w:rsidRPr="006E17BC" w:rsidRDefault="002606AE" w:rsidP="002606AE">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III.- …</w:t>
      </w:r>
      <w:r w:rsidRPr="006E17BC">
        <w:rPr>
          <w:sz w:val="20"/>
          <w:szCs w:val="20"/>
        </w:rPr>
        <w:t xml:space="preserve"> </w:t>
      </w:r>
      <w:r w:rsidRPr="006E17BC">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2606AE" w:rsidRPr="006E17BC" w:rsidRDefault="002606AE" w:rsidP="002606AE">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30.-</w:t>
      </w:r>
      <w:r w:rsidRPr="00CA1BB8">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31.-</w:t>
      </w:r>
      <w:r w:rsidRPr="00CA1BB8">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de la equidad de la educación. sección segunda.- de los planes y programas de estudio.</w:t>
      </w: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47.</w:t>
      </w:r>
      <w:r w:rsidRPr="00CA1BB8">
        <w:rPr>
          <w:rFonts w:ascii="Arial" w:hAnsi="Arial" w:cs="Arial"/>
          <w:b/>
          <w:color w:val="000000" w:themeColor="text1"/>
        </w:rPr>
        <w:t xml:space="preserve"> </w:t>
      </w:r>
      <w:r w:rsidRPr="00CA1BB8">
        <w:rPr>
          <w:rFonts w:ascii="Arial" w:hAnsi="Arial" w:cs="Arial"/>
          <w:color w:val="000000" w:themeColor="text1"/>
        </w:rPr>
        <w:t>Los contenidos de la educación serán definidos en planes y programas de estudio. En los planes de estudio deberán establecerse:</w:t>
      </w:r>
    </w:p>
    <w:p w:rsidR="002606AE" w:rsidRPr="00CA1BB8" w:rsidRDefault="002606AE" w:rsidP="002606AE">
      <w:pPr>
        <w:pStyle w:val="Prrafodelista"/>
        <w:numPr>
          <w:ilvl w:val="0"/>
          <w:numId w:val="2"/>
        </w:numPr>
        <w:spacing w:after="0" w:line="360" w:lineRule="auto"/>
        <w:jc w:val="both"/>
        <w:rPr>
          <w:rFonts w:ascii="Arial" w:hAnsi="Arial" w:cs="Arial"/>
          <w:color w:val="000000" w:themeColor="text1"/>
        </w:rPr>
      </w:pPr>
      <w:r w:rsidRPr="006E17BC">
        <w:rPr>
          <w:rFonts w:ascii="Arial" w:hAnsi="Arial" w:cs="Arial"/>
          <w:color w:val="000000" w:themeColor="text1"/>
        </w:rPr>
        <w:t>Los propósitos de formación general y, en su caso, la adquisición de conocimientos, habilidades, capacidades y destrezas que correspondan a cada nivel educativo</w:t>
      </w:r>
      <w:r w:rsidRPr="00CA1BB8">
        <w:rPr>
          <w:rFonts w:ascii="Arial" w:hAnsi="Arial" w:cs="Arial"/>
          <w:color w:val="000000" w:themeColor="text1"/>
        </w:rPr>
        <w:t>;</w:t>
      </w:r>
    </w:p>
    <w:p w:rsidR="002606AE" w:rsidRPr="0087771B" w:rsidRDefault="002606AE" w:rsidP="002606AE">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lastRenderedPageBreak/>
        <w:t>Los contenidos fundamentales de estudio, organizados en asignaturas u otras unidades de aprendizaje que, como mínimo, el educando deba acreditar para cumplir los propósitos de cada nivel educativo;</w:t>
      </w:r>
    </w:p>
    <w:p w:rsidR="002606AE" w:rsidRPr="0087771B" w:rsidRDefault="002606AE" w:rsidP="002606AE">
      <w:pPr>
        <w:pStyle w:val="Prrafodelista"/>
        <w:spacing w:after="0" w:line="360" w:lineRule="auto"/>
        <w:ind w:left="1080"/>
        <w:jc w:val="both"/>
        <w:rPr>
          <w:rFonts w:ascii="Arial" w:hAnsi="Arial" w:cs="Arial"/>
          <w:color w:val="000000" w:themeColor="text1"/>
        </w:rPr>
      </w:pPr>
    </w:p>
    <w:p w:rsidR="002606AE" w:rsidRPr="0087771B" w:rsidRDefault="002606AE" w:rsidP="002606AE">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Las secuencias indispensables que deben respetarse entre las asignaturas o unidades de aprendizaje que constituyen un nivel educativo, y</w:t>
      </w:r>
    </w:p>
    <w:p w:rsidR="002606AE" w:rsidRPr="0087771B" w:rsidRDefault="002606AE" w:rsidP="002606AE">
      <w:pPr>
        <w:pStyle w:val="Prrafodelista"/>
        <w:spacing w:after="0" w:line="360" w:lineRule="auto"/>
        <w:ind w:left="1080"/>
        <w:jc w:val="both"/>
        <w:rPr>
          <w:rFonts w:ascii="Arial" w:hAnsi="Arial" w:cs="Arial"/>
          <w:color w:val="000000" w:themeColor="text1"/>
        </w:rPr>
      </w:pPr>
    </w:p>
    <w:p w:rsidR="002606AE" w:rsidRPr="0087771B" w:rsidRDefault="002606AE" w:rsidP="002606AE">
      <w:pPr>
        <w:pStyle w:val="Prrafodelista"/>
        <w:numPr>
          <w:ilvl w:val="0"/>
          <w:numId w:val="2"/>
        </w:numPr>
        <w:spacing w:after="0" w:line="360" w:lineRule="auto"/>
        <w:jc w:val="both"/>
        <w:rPr>
          <w:rFonts w:ascii="Arial" w:hAnsi="Arial" w:cs="Arial"/>
          <w:color w:val="000000" w:themeColor="text1"/>
        </w:rPr>
      </w:pPr>
      <w:r w:rsidRPr="0087771B">
        <w:rPr>
          <w:rFonts w:ascii="Arial" w:hAnsi="Arial" w:cs="Arial"/>
          <w:color w:val="000000" w:themeColor="text1"/>
        </w:rPr>
        <w:t>Los criterios y procedimientos de evaluación y acreditación para verificar que el educando cumple los propósitos de cada nivel educativo.</w:t>
      </w:r>
    </w:p>
    <w:p w:rsidR="002606AE" w:rsidRPr="006E17BC" w:rsidRDefault="002606AE" w:rsidP="002606AE">
      <w:pPr>
        <w:spacing w:after="0" w:line="360" w:lineRule="auto"/>
        <w:ind w:left="360"/>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Siendo la Universidad La Salle una Institución de Educación Privada se atiene en mayor medida a la normatividad especificada en el </w:t>
      </w:r>
      <w:r w:rsidRPr="00CA1BB8">
        <w:rPr>
          <w:rFonts w:ascii="Arial" w:hAnsi="Arial" w:cs="Arial"/>
          <w:b/>
          <w:smallCaps/>
          <w:color w:val="000000" w:themeColor="text1"/>
        </w:rPr>
        <w:t>capítulo v. de la educación que impartan los particulares</w:t>
      </w:r>
      <w:r w:rsidRPr="00CA1BB8">
        <w:rPr>
          <w:rFonts w:ascii="Arial" w:hAnsi="Arial" w:cs="Arial"/>
          <w:color w:val="000000" w:themeColor="text1"/>
        </w:rPr>
        <w:t>, que establece lo siguiente:</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54.-</w:t>
      </w:r>
      <w:r w:rsidRPr="00CA1BB8">
        <w:rPr>
          <w:rFonts w:ascii="Arial" w:hAnsi="Arial" w:cs="Arial"/>
          <w:color w:val="000000" w:themeColor="text1"/>
        </w:rPr>
        <w:t xml:space="preserve"> Los particulares podrán impartir educación en todos sus tipos y modalidades.</w:t>
      </w:r>
    </w:p>
    <w:p w:rsidR="002606AE"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w:t>
      </w:r>
      <w:r>
        <w:rPr>
          <w:rFonts w:ascii="Arial" w:hAnsi="Arial" w:cs="Arial"/>
          <w:color w:val="000000" w:themeColor="text1"/>
        </w:rPr>
        <w:t>, t</w:t>
      </w:r>
      <w:r w:rsidRPr="00CA1BB8">
        <w:rPr>
          <w:rFonts w:ascii="Arial" w:hAnsi="Arial" w:cs="Arial"/>
          <w:color w:val="000000" w:themeColor="text1"/>
        </w:rPr>
        <w:t>ratándose de estudios distintos de los antes mencionados, podrá</w:t>
      </w:r>
      <w:r>
        <w:rPr>
          <w:rFonts w:ascii="Arial" w:hAnsi="Arial" w:cs="Arial"/>
          <w:color w:val="000000" w:themeColor="text1"/>
        </w:rPr>
        <w:t>n obtener el reconocimiento de v</w:t>
      </w:r>
      <w:r w:rsidRPr="00CA1BB8">
        <w:rPr>
          <w:rFonts w:ascii="Arial" w:hAnsi="Arial" w:cs="Arial"/>
          <w:color w:val="000000" w:themeColor="text1"/>
        </w:rPr>
        <w:t>al</w:t>
      </w:r>
      <w:r>
        <w:rPr>
          <w:rFonts w:ascii="Arial" w:hAnsi="Arial" w:cs="Arial"/>
          <w:color w:val="000000" w:themeColor="text1"/>
        </w:rPr>
        <w:t>i</w:t>
      </w:r>
      <w:r w:rsidRPr="00CA1BB8">
        <w:rPr>
          <w:rFonts w:ascii="Arial" w:hAnsi="Arial" w:cs="Arial"/>
          <w:color w:val="000000" w:themeColor="text1"/>
        </w:rPr>
        <w:t>dez oficial de estudios.</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rsidR="002606AE"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lastRenderedPageBreak/>
        <w:t>Artículo 55</w:t>
      </w:r>
      <w:r w:rsidRPr="00CA1BB8">
        <w:rPr>
          <w:rFonts w:ascii="Arial" w:hAnsi="Arial" w:cs="Arial"/>
          <w:smallCaps/>
          <w:color w:val="000000" w:themeColor="text1"/>
        </w:rPr>
        <w:t>.-</w:t>
      </w:r>
      <w:r w:rsidRPr="00CA1BB8">
        <w:rPr>
          <w:rFonts w:ascii="Arial" w:hAnsi="Arial" w:cs="Arial"/>
          <w:color w:val="000000" w:themeColor="text1"/>
        </w:rPr>
        <w:t xml:space="preserve"> las autorizaciones y los reconocimientos de validez oficial de estudios se otorgarán cuando los solicitantes cuenten:</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I.- </w:t>
      </w:r>
      <w:r w:rsidRPr="0087771B">
        <w:rPr>
          <w:rFonts w:ascii="Arial" w:hAnsi="Arial" w:cs="Arial"/>
          <w:color w:val="000000" w:themeColor="text1"/>
        </w:rPr>
        <w:t>Con personal que acredite la preparación adecuada para impartir educación y, en su caso, satisfagan los demás requisitos a que se refiere el artículo 21;</w:t>
      </w:r>
    </w:p>
    <w:p w:rsidR="002606AE" w:rsidRPr="0087771B" w:rsidRDefault="002606AE" w:rsidP="002606AE">
      <w:pPr>
        <w:spacing w:after="0" w:line="360" w:lineRule="auto"/>
        <w:ind w:left="705"/>
        <w:jc w:val="both"/>
        <w:rPr>
          <w:rFonts w:ascii="Arial" w:hAnsi="Arial" w:cs="Arial"/>
          <w:color w:val="000000" w:themeColor="text1"/>
        </w:rPr>
      </w:pPr>
      <w:r w:rsidRPr="0087771B">
        <w:rPr>
          <w:rFonts w:ascii="Arial" w:hAnsi="Arial" w:cs="Arial"/>
          <w:color w:val="000000" w:themeColor="text1"/>
        </w:rPr>
        <w:t>II.- Con instalaciones que satisfagan las condiciones higiénicas, de seguridad, pedagógicas y de accesibilidad que la autoridad otorgante determine, conforme a los términos que señalen las disposiciones aplicables. Para establecer un nuevo plantel se requerirá, según el caso, una nueva autorización o un nuevo reconocimiento, y</w:t>
      </w:r>
    </w:p>
    <w:p w:rsidR="002606AE" w:rsidRPr="0087771B" w:rsidRDefault="002606AE" w:rsidP="002606AE">
      <w:pPr>
        <w:spacing w:after="0" w:line="360" w:lineRule="auto"/>
        <w:ind w:left="705"/>
        <w:jc w:val="both"/>
        <w:rPr>
          <w:rFonts w:ascii="Arial" w:hAnsi="Arial" w:cs="Arial"/>
          <w:color w:val="000000" w:themeColor="text1"/>
        </w:rPr>
      </w:pPr>
      <w:r w:rsidRPr="0087771B">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57</w:t>
      </w:r>
      <w:r w:rsidRPr="00CA1BB8">
        <w:rPr>
          <w:rFonts w:ascii="Arial" w:hAnsi="Arial" w:cs="Arial"/>
          <w:b/>
          <w:color w:val="000000" w:themeColor="text1"/>
        </w:rPr>
        <w:t>.-</w:t>
      </w:r>
      <w:r w:rsidRPr="00CA1BB8">
        <w:rPr>
          <w:rFonts w:ascii="Arial" w:hAnsi="Arial" w:cs="Arial"/>
          <w:color w:val="000000" w:themeColor="text1"/>
        </w:rPr>
        <w:t xml:space="preserve"> Los particulares que impartan educación con autorización o con reconocimiento deberán:</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Pr>
          <w:rFonts w:ascii="Arial" w:hAnsi="Arial" w:cs="Arial"/>
          <w:color w:val="000000" w:themeColor="text1"/>
        </w:rPr>
        <w:t xml:space="preserve"> I.- </w:t>
      </w:r>
      <w:r w:rsidRPr="0087771B">
        <w:rPr>
          <w:rFonts w:ascii="Arial" w:hAnsi="Arial" w:cs="Arial"/>
          <w:color w:val="000000" w:themeColor="text1"/>
        </w:rPr>
        <w:t>Cumplir con lo dispuesto en el artículo 3o. de la Constitución Política de los Estados Unidos Mexicanos, en la presente Ley y demás disposiciones aplicables;</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 Cumplir con los planes y programas de estudio que las autoridades educativas competentes hayan determinado o considerado procedentes;</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III.- Proporcionar un mínimo de becas en los términos de los lineamientos generales que la autoridad que otorgue las autorizaciones o reconocimientos haya determinado;</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IV.- Cumplir los requisitos previstos en el artículo 55, y</w:t>
      </w:r>
    </w:p>
    <w:p w:rsidR="002606AE" w:rsidRPr="0087771B" w:rsidRDefault="002606AE" w:rsidP="002606AE">
      <w:pPr>
        <w:tabs>
          <w:tab w:val="left" w:pos="1134"/>
        </w:tabs>
        <w:spacing w:after="0" w:line="360" w:lineRule="auto"/>
        <w:ind w:left="709"/>
        <w:jc w:val="both"/>
        <w:rPr>
          <w:rFonts w:ascii="Arial" w:hAnsi="Arial" w:cs="Arial"/>
          <w:color w:val="000000" w:themeColor="text1"/>
        </w:rPr>
      </w:pPr>
      <w:r w:rsidRPr="0087771B">
        <w:rPr>
          <w:rFonts w:ascii="Arial" w:hAnsi="Arial" w:cs="Arial"/>
          <w:color w:val="000000" w:themeColor="text1"/>
        </w:rPr>
        <w:t>V.- Facilitar y colaborar en las actividades de evaluación, inspección y vigilancia que las autoridades competentes realicen u ordenen.</w:t>
      </w:r>
    </w:p>
    <w:p w:rsidR="002606AE" w:rsidRPr="00CA1BB8"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smallCaps/>
          <w:color w:val="000000" w:themeColor="text1"/>
        </w:rPr>
      </w:pPr>
      <w:r w:rsidRPr="00CA1BB8">
        <w:rPr>
          <w:rFonts w:ascii="Arial" w:hAnsi="Arial" w:cs="Arial"/>
          <w:b/>
          <w:smallCaps/>
          <w:color w:val="000000" w:themeColor="text1"/>
        </w:rPr>
        <w:t xml:space="preserve">capítulo vi. de la validez oficial de estudios y de la certificación de conocimientos. </w:t>
      </w: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60.-</w:t>
      </w:r>
      <w:r w:rsidRPr="00CA1BB8">
        <w:rPr>
          <w:rFonts w:ascii="Arial" w:hAnsi="Arial" w:cs="Arial"/>
          <w:color w:val="000000" w:themeColor="text1"/>
        </w:rPr>
        <w:t xml:space="preserve"> Los estudios realizados dentro del </w:t>
      </w:r>
      <w:r>
        <w:rPr>
          <w:rFonts w:ascii="Arial" w:hAnsi="Arial" w:cs="Arial"/>
          <w:color w:val="000000" w:themeColor="text1"/>
        </w:rPr>
        <w:t>s</w:t>
      </w:r>
      <w:r w:rsidRPr="00CA1BB8">
        <w:rPr>
          <w:rFonts w:ascii="Arial" w:hAnsi="Arial" w:cs="Arial"/>
          <w:color w:val="000000" w:themeColor="text1"/>
        </w:rPr>
        <w:t xml:space="preserve">istema </w:t>
      </w:r>
      <w:r>
        <w:rPr>
          <w:rFonts w:ascii="Arial" w:hAnsi="Arial" w:cs="Arial"/>
          <w:color w:val="000000" w:themeColor="text1"/>
        </w:rPr>
        <w:t>e</w:t>
      </w:r>
      <w:r w:rsidRPr="00CA1BB8">
        <w:rPr>
          <w:rFonts w:ascii="Arial" w:hAnsi="Arial" w:cs="Arial"/>
          <w:color w:val="000000" w:themeColor="text1"/>
        </w:rPr>
        <w:t xml:space="preserve">ducativo </w:t>
      </w:r>
      <w:r>
        <w:rPr>
          <w:rFonts w:ascii="Arial" w:hAnsi="Arial" w:cs="Arial"/>
          <w:color w:val="000000" w:themeColor="text1"/>
        </w:rPr>
        <w:t>n</w:t>
      </w:r>
      <w:r w:rsidRPr="00CA1BB8">
        <w:rPr>
          <w:rFonts w:ascii="Arial" w:hAnsi="Arial" w:cs="Arial"/>
          <w:color w:val="000000" w:themeColor="text1"/>
        </w:rPr>
        <w:t>acional tendrán validez en toda la República.</w:t>
      </w:r>
    </w:p>
    <w:p w:rsidR="002606AE" w:rsidRPr="00785BE1"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 xml:space="preserve">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w:t>
      </w:r>
      <w:r w:rsidRPr="00785BE1">
        <w:rPr>
          <w:rFonts w:ascii="Arial" w:hAnsi="Arial" w:cs="Arial"/>
          <w:color w:val="000000" w:themeColor="text1"/>
        </w:rPr>
        <w:t xml:space="preserve">Dichos certificados, constancias, diplomas, títulos y grados </w:t>
      </w:r>
      <w:r w:rsidRPr="00785BE1">
        <w:rPr>
          <w:rFonts w:ascii="Arial" w:hAnsi="Arial" w:cs="Arial"/>
          <w:color w:val="000000" w:themeColor="text1"/>
        </w:rPr>
        <w:lastRenderedPageBreak/>
        <w:t>deberán registrarse en el Sistema de Información y Gestión Educativa y tendrán validez en toda la República.</w:t>
      </w: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color w:val="000000" w:themeColor="text1"/>
        </w:rPr>
        <w:t>La Secretaría promoverá que los estudios con validez oficial en la República sean reconocidos en el extranjero.</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ley reglamentaria del artículo 5º constitucional, relativo al ejercicio de las profesiones en </w:t>
      </w:r>
      <w:r>
        <w:rPr>
          <w:rFonts w:ascii="Arial" w:hAnsi="Arial" w:cs="Arial"/>
          <w:b/>
          <w:smallCaps/>
          <w:color w:val="000000" w:themeColor="text1"/>
        </w:rPr>
        <w:t>la Ciudad de México.</w:t>
      </w:r>
      <w:r>
        <w:rPr>
          <w:rStyle w:val="Refdenotaalpie"/>
          <w:rFonts w:ascii="Arial" w:hAnsi="Arial"/>
          <w:b/>
          <w:smallCaps/>
          <w:color w:val="000000" w:themeColor="text1"/>
        </w:rPr>
        <w:footnoteReference w:id="64"/>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w:t>
      </w:r>
      <w:r>
        <w:rPr>
          <w:rFonts w:ascii="Arial" w:hAnsi="Arial" w:cs="Arial"/>
          <w:b/>
          <w:smallCaps/>
          <w:color w:val="000000" w:themeColor="text1"/>
        </w:rPr>
        <w:t xml:space="preserve"> </w:t>
      </w:r>
      <w:r w:rsidRPr="00CA1BB8">
        <w:rPr>
          <w:rFonts w:ascii="Arial" w:hAnsi="Arial" w:cs="Arial"/>
          <w:b/>
          <w:smallCaps/>
          <w:color w:val="000000" w:themeColor="text1"/>
        </w:rPr>
        <w:t>condiciones que deben llenarse para obtener un título profesional</w:t>
      </w:r>
    </w:p>
    <w:p w:rsidR="002606AE" w:rsidRDefault="002606AE" w:rsidP="002606AE">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8.-</w:t>
      </w:r>
      <w:r w:rsidRPr="00CA1BB8">
        <w:rPr>
          <w:rFonts w:ascii="Arial" w:hAnsi="Arial" w:cs="Arial"/>
          <w:color w:val="000000" w:themeColor="text1"/>
        </w:rPr>
        <w:t xml:space="preserve"> Para obtener un título profesional es indispensable acreditar que se han cumplido los requisitos académicos previstos por las leyes aplicables.</w:t>
      </w:r>
    </w:p>
    <w:p w:rsidR="002606AE" w:rsidRPr="00CA1BB8" w:rsidRDefault="002606AE" w:rsidP="002606AE">
      <w:pPr>
        <w:spacing w:after="0" w:line="360" w:lineRule="auto"/>
        <w:jc w:val="both"/>
        <w:rPr>
          <w:rFonts w:ascii="Arial" w:hAnsi="Arial" w:cs="Arial"/>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923FEE">
        <w:rPr>
          <w:rFonts w:ascii="Arial" w:hAnsi="Arial" w:cs="Arial"/>
          <w:b/>
          <w:smallCaps/>
          <w:color w:val="000000" w:themeColor="text1"/>
        </w:rPr>
        <w:t>Artículo 9.-</w:t>
      </w:r>
      <w:r w:rsidRPr="00CA1BB8">
        <w:rPr>
          <w:rFonts w:ascii="Arial" w:hAnsi="Arial" w:cs="Arial"/>
          <w:color w:val="000000" w:themeColor="text1"/>
        </w:rPr>
        <w:t xml:space="preserve"> Para que pueda registrarse un título profesional expedido por </w:t>
      </w:r>
      <w:r>
        <w:rPr>
          <w:rFonts w:ascii="Arial" w:hAnsi="Arial" w:cs="Arial"/>
          <w:color w:val="000000" w:themeColor="text1"/>
        </w:rPr>
        <w:t>una</w:t>
      </w:r>
      <w:r w:rsidRPr="00CA1BB8">
        <w:rPr>
          <w:rFonts w:ascii="Arial" w:hAnsi="Arial" w:cs="Arial"/>
          <w:color w:val="000000" w:themeColor="text1"/>
        </w:rPr>
        <w:t xml:space="preserve"> institución que no forme parte del </w:t>
      </w:r>
      <w:r>
        <w:rPr>
          <w:rFonts w:ascii="Arial" w:hAnsi="Arial" w:cs="Arial"/>
          <w:color w:val="000000" w:themeColor="text1"/>
        </w:rPr>
        <w:t>S</w:t>
      </w:r>
      <w:r w:rsidRPr="00CA1BB8">
        <w:rPr>
          <w:rFonts w:ascii="Arial" w:hAnsi="Arial" w:cs="Arial"/>
          <w:color w:val="000000" w:themeColor="text1"/>
        </w:rPr>
        <w:t>istema Educativo Nacional será necesario que la Secretaría de Educación Pública revalide, en su caso, los estudios correspondientes y que el interesado acredite haber prestado servicio social.</w:t>
      </w: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iii instituciones autorizadas que deben expedir los títulos profesionales</w:t>
      </w: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primera títulos expedidos </w:t>
      </w:r>
      <w:r>
        <w:rPr>
          <w:rFonts w:ascii="Arial" w:hAnsi="Arial" w:cs="Arial"/>
          <w:b/>
          <w:smallCaps/>
          <w:color w:val="000000" w:themeColor="text1"/>
        </w:rPr>
        <w:t>en la Ciudad de México</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10.</w:t>
      </w:r>
      <w:r w:rsidRPr="00CA1BB8">
        <w:rPr>
          <w:rFonts w:ascii="Arial" w:hAnsi="Arial" w:cs="Arial"/>
          <w:b/>
          <w:color w:val="000000" w:themeColor="text1"/>
        </w:rPr>
        <w:t>-</w:t>
      </w:r>
      <w:r w:rsidRPr="00CA1BB8">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11.-</w:t>
      </w:r>
      <w:r w:rsidRPr="00CA1BB8">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2606AE" w:rsidRDefault="002606AE" w:rsidP="002606AE">
      <w:pPr>
        <w:spacing w:after="0" w:line="360" w:lineRule="auto"/>
        <w:jc w:val="both"/>
        <w:rPr>
          <w:rFonts w:ascii="Arial" w:hAnsi="Arial" w:cs="Arial"/>
          <w:b/>
          <w:smallCaps/>
          <w:color w:val="000000" w:themeColor="text1"/>
        </w:rPr>
      </w:pPr>
    </w:p>
    <w:p w:rsidR="002606AE" w:rsidRPr="00CA1BB8" w:rsidRDefault="002606AE" w:rsidP="002606AE">
      <w:pPr>
        <w:spacing w:after="0" w:line="360" w:lineRule="auto"/>
        <w:jc w:val="both"/>
        <w:rPr>
          <w:rFonts w:ascii="Arial" w:hAnsi="Arial" w:cs="Arial"/>
          <w:b/>
          <w:smallCaps/>
          <w:color w:val="000000" w:themeColor="text1"/>
        </w:rPr>
      </w:pPr>
      <w:r w:rsidRPr="00CA1BB8">
        <w:rPr>
          <w:rFonts w:ascii="Arial" w:hAnsi="Arial" w:cs="Arial"/>
          <w:b/>
          <w:smallCaps/>
          <w:color w:val="000000" w:themeColor="text1"/>
        </w:rPr>
        <w:t>capítulo v. del ejercicio profesional</w:t>
      </w:r>
    </w:p>
    <w:p w:rsidR="002606AE" w:rsidRPr="00CA1BB8" w:rsidRDefault="002606AE" w:rsidP="002606AE">
      <w:pPr>
        <w:spacing w:after="0" w:line="360" w:lineRule="auto"/>
        <w:jc w:val="both"/>
        <w:rPr>
          <w:rFonts w:ascii="Arial" w:hAnsi="Arial" w:cs="Arial"/>
          <w:color w:val="000000" w:themeColor="text1"/>
        </w:rPr>
      </w:pPr>
      <w:r w:rsidRPr="00CA1BB8">
        <w:rPr>
          <w:rFonts w:ascii="Arial" w:hAnsi="Arial" w:cs="Arial"/>
          <w:b/>
          <w:smallCaps/>
          <w:color w:val="000000" w:themeColor="text1"/>
        </w:rPr>
        <w:t>artículo 24.-</w:t>
      </w:r>
      <w:r w:rsidRPr="00CA1BB8">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w:t>
      </w:r>
      <w:r>
        <w:rPr>
          <w:rFonts w:ascii="Arial" w:hAnsi="Arial" w:cs="Arial"/>
          <w:color w:val="000000" w:themeColor="text1"/>
        </w:rPr>
        <w:t>s</w:t>
      </w:r>
      <w:r w:rsidRPr="00CA1BB8">
        <w:rPr>
          <w:rFonts w:ascii="Arial" w:hAnsi="Arial" w:cs="Arial"/>
          <w:color w:val="000000" w:themeColor="text1"/>
        </w:rPr>
        <w:t xml:space="preserve">e trate </w:t>
      </w:r>
      <w:r>
        <w:rPr>
          <w:rFonts w:ascii="Arial" w:hAnsi="Arial" w:cs="Arial"/>
          <w:color w:val="000000" w:themeColor="text1"/>
        </w:rPr>
        <w:t>d</w:t>
      </w:r>
      <w:r w:rsidRPr="00CA1BB8">
        <w:rPr>
          <w:rFonts w:ascii="Arial" w:hAnsi="Arial" w:cs="Arial"/>
          <w:color w:val="000000" w:themeColor="text1"/>
        </w:rPr>
        <w:t>e simple consulta o la ostentación del carácter del profesionista por medio de tarjetas, anuncios, placas, insignias o de cualquier otro modo. No se reputará ejercicio profesional cualquier acto realizado en los casos graves con propósito de auxilio inmediato.</w:t>
      </w:r>
    </w:p>
    <w:p w:rsidR="002606AE" w:rsidRPr="00CA1BB8" w:rsidRDefault="002606AE" w:rsidP="002606AE">
      <w:pPr>
        <w:spacing w:after="0" w:line="360" w:lineRule="auto"/>
        <w:jc w:val="both"/>
        <w:rPr>
          <w:rFonts w:ascii="Arial" w:hAnsi="Arial" w:cs="Arial"/>
          <w:color w:val="000000" w:themeColor="text1"/>
        </w:rPr>
      </w:pPr>
    </w:p>
    <w:p w:rsidR="002606AE" w:rsidRPr="002406DE" w:rsidRDefault="002B17C0" w:rsidP="002606AE">
      <w:pPr>
        <w:spacing w:after="0" w:line="360" w:lineRule="auto"/>
        <w:jc w:val="both"/>
        <w:rPr>
          <w:rFonts w:ascii="Arial" w:hAnsi="Arial" w:cs="Arial"/>
          <w:highlight w:val="lightGray"/>
        </w:rPr>
      </w:pPr>
      <w:r>
        <w:rPr>
          <w:rFonts w:ascii="Arial" w:hAnsi="Arial" w:cs="Arial"/>
          <w:b/>
          <w:smallCaps/>
          <w:color w:val="000000" w:themeColor="text1"/>
        </w:rPr>
        <w:lastRenderedPageBreak/>
        <w:t xml:space="preserve">3.3. </w:t>
      </w:r>
      <w:r w:rsidR="002606AE" w:rsidRPr="005A238F">
        <w:rPr>
          <w:rFonts w:ascii="Arial" w:hAnsi="Arial" w:cs="Arial"/>
          <w:b/>
          <w:smallCaps/>
          <w:color w:val="000000" w:themeColor="text1"/>
        </w:rPr>
        <w:t>La Ley General de Salud</w:t>
      </w:r>
      <w:r w:rsidR="002606AE">
        <w:rPr>
          <w:rStyle w:val="Refdenotaalpie"/>
          <w:rFonts w:ascii="Arial" w:hAnsi="Arial"/>
          <w:b/>
          <w:smallCaps/>
          <w:color w:val="000000" w:themeColor="text1"/>
        </w:rPr>
        <w:footnoteReference w:id="65"/>
      </w:r>
      <w:r w:rsidR="002606AE" w:rsidRPr="005A238F">
        <w:rPr>
          <w:rFonts w:ascii="Arial" w:hAnsi="Arial" w:cs="Arial"/>
          <w:b/>
          <w:smallCaps/>
          <w:color w:val="000000" w:themeColor="text1"/>
        </w:rPr>
        <w:t>,</w:t>
      </w:r>
      <w:r w:rsidR="002606AE" w:rsidRPr="005A238F">
        <w:rPr>
          <w:rFonts w:ascii="Arial" w:hAnsi="Arial" w:cs="Arial"/>
          <w:color w:val="000000" w:themeColor="text1"/>
        </w:rPr>
        <w:t xml:space="preserve"> en su Capítulo Único del Título Primero, </w:t>
      </w:r>
      <w:r w:rsidR="002606AE" w:rsidRPr="00CA0725">
        <w:rPr>
          <w:rFonts w:ascii="Arial" w:hAnsi="Arial" w:cs="Arial"/>
          <w:b/>
          <w:color w:val="000000" w:themeColor="text1"/>
        </w:rPr>
        <w:t>Artículo 2°</w:t>
      </w:r>
      <w:r w:rsidR="002606AE" w:rsidRPr="005A238F">
        <w:rPr>
          <w:rFonts w:ascii="Arial" w:hAnsi="Arial" w:cs="Arial"/>
          <w:color w:val="000000" w:themeColor="text1"/>
        </w:rPr>
        <w:t xml:space="preserve">, Fracciones I, II ,III y IV,  que enuncia como finalidades la protección al bienestar físico y mental del hombre, para contribuir al ejercicio pleno de sus capacidades; la prolongación 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2606AE" w:rsidRPr="002406DE" w:rsidRDefault="002606AE" w:rsidP="002606AE">
      <w:pPr>
        <w:spacing w:after="0" w:line="360" w:lineRule="auto"/>
        <w:jc w:val="both"/>
        <w:rPr>
          <w:rFonts w:ascii="Arial" w:hAnsi="Arial" w:cs="Arial"/>
          <w:highlight w:val="lightGray"/>
        </w:rPr>
      </w:pPr>
    </w:p>
    <w:p w:rsidR="002606AE" w:rsidRDefault="002606AE" w:rsidP="002606AE">
      <w:pPr>
        <w:spacing w:after="0" w:line="360" w:lineRule="auto"/>
        <w:jc w:val="both"/>
        <w:rPr>
          <w:rFonts w:ascii="Arial" w:hAnsi="Arial" w:cs="Arial"/>
        </w:rPr>
      </w:pPr>
      <w:r w:rsidRPr="00F25270">
        <w:rPr>
          <w:rFonts w:ascii="Arial" w:hAnsi="Arial" w:cs="Arial"/>
        </w:rPr>
        <w:t xml:space="preserve">En el Título Cuarto sobre Recursos Humanos para los Servicios de Salud, Capítulo I </w:t>
      </w:r>
      <w:r w:rsidRPr="00CA0725">
        <w:rPr>
          <w:rFonts w:ascii="Arial" w:hAnsi="Arial" w:cs="Arial"/>
          <w:b/>
        </w:rPr>
        <w:t>Artículo 81</w:t>
      </w:r>
      <w:r>
        <w:rPr>
          <w:rFonts w:ascii="Arial" w:hAnsi="Arial" w:cs="Arial"/>
        </w:rPr>
        <w:t xml:space="preserve"> dice: </w:t>
      </w:r>
      <w:r w:rsidRPr="009405D8">
        <w:rPr>
          <w:rFonts w:ascii="Arial" w:hAnsi="Arial" w:cs="Arial"/>
        </w:rPr>
        <w:t>La emisión de los diplomas de especialidades médicas corresponde a las instituciones de educación superior y de salud oficialmente reconocidas ante las autoridades correspondientes</w:t>
      </w:r>
    </w:p>
    <w:p w:rsidR="002606AE" w:rsidRDefault="002606AE" w:rsidP="002606AE">
      <w:pPr>
        <w:spacing w:after="0" w:line="360" w:lineRule="auto"/>
        <w:jc w:val="both"/>
        <w:rPr>
          <w:rFonts w:ascii="Arial" w:hAnsi="Arial" w:cs="Arial"/>
        </w:rPr>
      </w:pPr>
    </w:p>
    <w:p w:rsidR="002606AE" w:rsidRPr="009405D8" w:rsidRDefault="002606AE" w:rsidP="002606AE">
      <w:pPr>
        <w:spacing w:after="0" w:line="360" w:lineRule="auto"/>
        <w:jc w:val="both"/>
        <w:rPr>
          <w:rFonts w:ascii="Arial" w:hAnsi="Arial" w:cs="Arial"/>
        </w:rPr>
      </w:pPr>
      <w:r w:rsidRPr="009405D8">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2606AE" w:rsidRPr="009405D8" w:rsidRDefault="002606AE" w:rsidP="002606AE">
      <w:pPr>
        <w:spacing w:after="0" w:line="360" w:lineRule="auto"/>
        <w:jc w:val="both"/>
        <w:rPr>
          <w:rFonts w:ascii="Arial" w:hAnsi="Arial" w:cs="Arial"/>
        </w:rPr>
      </w:pPr>
    </w:p>
    <w:p w:rsidR="002606AE" w:rsidRPr="009405D8" w:rsidRDefault="002606AE" w:rsidP="002606AE">
      <w:pPr>
        <w:spacing w:after="0" w:line="360" w:lineRule="auto"/>
        <w:jc w:val="both"/>
        <w:rPr>
          <w:rFonts w:ascii="Arial" w:hAnsi="Arial" w:cs="Arial"/>
        </w:rPr>
      </w:pPr>
      <w:r w:rsidRPr="009405D8">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w:t>
      </w:r>
      <w:r w:rsidRPr="00F25270">
        <w:rPr>
          <w:rFonts w:ascii="Arial" w:hAnsi="Arial" w:cs="Arial"/>
        </w:rPr>
        <w:t xml:space="preserve"> </w:t>
      </w:r>
      <w:r w:rsidRPr="009405D8">
        <w:rPr>
          <w:rFonts w:ascii="Arial" w:hAnsi="Arial" w:cs="Arial"/>
        </w:rPr>
        <w:t>que se requiere para la certificación y recertificación de la misma en las diferentes especialidades de la medicina reconocidas por el Comité y en las instituciones de salud oficialmente reconocidas ante las autoridades correspondientes.</w:t>
      </w:r>
    </w:p>
    <w:p w:rsidR="002606AE" w:rsidRPr="009405D8" w:rsidRDefault="002606AE" w:rsidP="002606AE">
      <w:pPr>
        <w:spacing w:after="0" w:line="360" w:lineRule="auto"/>
        <w:jc w:val="both"/>
        <w:rPr>
          <w:rFonts w:ascii="Arial" w:hAnsi="Arial" w:cs="Arial"/>
        </w:rPr>
      </w:pPr>
    </w:p>
    <w:p w:rsidR="002606AE" w:rsidRPr="009405D8" w:rsidRDefault="002606AE" w:rsidP="002606AE">
      <w:pPr>
        <w:spacing w:after="0" w:line="360" w:lineRule="auto"/>
        <w:jc w:val="both"/>
        <w:rPr>
          <w:rFonts w:ascii="Arial" w:hAnsi="Arial" w:cs="Arial"/>
        </w:rPr>
      </w:pPr>
      <w:r w:rsidRPr="009405D8">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2606AE" w:rsidRPr="009405D8" w:rsidRDefault="002606AE" w:rsidP="002606AE">
      <w:pPr>
        <w:spacing w:after="0" w:line="360" w:lineRule="auto"/>
        <w:jc w:val="both"/>
        <w:rPr>
          <w:rFonts w:ascii="Arial" w:hAnsi="Arial" w:cs="Arial"/>
        </w:rPr>
      </w:pPr>
    </w:p>
    <w:p w:rsidR="002606AE" w:rsidRDefault="002606AE" w:rsidP="002606AE">
      <w:pPr>
        <w:spacing w:after="0" w:line="360" w:lineRule="auto"/>
        <w:jc w:val="both"/>
        <w:rPr>
          <w:rFonts w:ascii="Arial" w:hAnsi="Arial" w:cs="Arial"/>
        </w:rPr>
      </w:pPr>
      <w:r w:rsidRPr="009405D8">
        <w:rPr>
          <w:rFonts w:ascii="Arial" w:hAnsi="Arial" w:cs="Arial"/>
        </w:rPr>
        <w:lastRenderedPageBreak/>
        <w:t>Para la expedición de la cédula de médico especialista las autoridades educativas competentes solicitarán la opinión del Comité Normativo Nacional de Consejos de Especialidades Médicas</w:t>
      </w:r>
      <w:r>
        <w:rPr>
          <w:rStyle w:val="Refdenotaalpie"/>
          <w:rFonts w:ascii="Arial" w:hAnsi="Arial"/>
        </w:rPr>
        <w:footnoteReference w:id="66"/>
      </w:r>
      <w:r w:rsidRPr="009405D8">
        <w:rPr>
          <w:rFonts w:ascii="Arial" w:hAnsi="Arial" w:cs="Arial"/>
        </w:rPr>
        <w:t>.</w:t>
      </w:r>
    </w:p>
    <w:p w:rsidR="002606AE" w:rsidRPr="009405D8" w:rsidRDefault="002606AE" w:rsidP="002606AE">
      <w:pPr>
        <w:spacing w:after="0" w:line="360" w:lineRule="auto"/>
        <w:rPr>
          <w:rFonts w:ascii="Arial" w:hAnsi="Arial" w:cs="Arial"/>
        </w:rPr>
      </w:pPr>
    </w:p>
    <w:p w:rsidR="002606AE" w:rsidRDefault="002606AE" w:rsidP="002606AE">
      <w:pPr>
        <w:spacing w:after="0" w:line="360" w:lineRule="auto"/>
        <w:jc w:val="both"/>
        <w:rPr>
          <w:rFonts w:ascii="Arial" w:hAnsi="Arial" w:cs="Arial"/>
        </w:rPr>
      </w:pPr>
      <w:r w:rsidRPr="00F25270">
        <w:rPr>
          <w:rFonts w:ascii="Arial" w:hAnsi="Arial" w:cs="Arial"/>
          <w:b/>
        </w:rPr>
        <w:t>Artículo 82.-</w:t>
      </w:r>
      <w:r w:rsidRPr="009405D8">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2606AE" w:rsidRDefault="002606AE" w:rsidP="002606AE">
      <w:pPr>
        <w:spacing w:after="0" w:line="360" w:lineRule="auto"/>
        <w:rPr>
          <w:rFonts w:ascii="Arial" w:hAnsi="Arial" w:cs="Arial"/>
        </w:rPr>
      </w:pPr>
    </w:p>
    <w:p w:rsidR="002606AE" w:rsidRPr="009405D8" w:rsidRDefault="002606AE" w:rsidP="002606AE">
      <w:pPr>
        <w:spacing w:after="0" w:line="360" w:lineRule="auto"/>
        <w:jc w:val="both"/>
        <w:rPr>
          <w:rFonts w:ascii="Arial" w:hAnsi="Arial" w:cs="Arial"/>
        </w:rPr>
      </w:pPr>
      <w:r w:rsidRPr="00F25270">
        <w:rPr>
          <w:rFonts w:ascii="Arial" w:hAnsi="Arial" w:cs="Arial"/>
          <w:b/>
        </w:rPr>
        <w:t>Artículo 83.</w:t>
      </w:r>
      <w:r w:rsidRPr="009405D8">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Pr>
          <w:rStyle w:val="Refdenotaalpie"/>
          <w:rFonts w:ascii="Arial" w:hAnsi="Arial"/>
        </w:rPr>
        <w:footnoteReference w:id="67"/>
      </w:r>
    </w:p>
    <w:p w:rsidR="002606AE" w:rsidRPr="009405D8" w:rsidRDefault="002606AE" w:rsidP="002606AE">
      <w:pPr>
        <w:spacing w:after="0" w:line="360" w:lineRule="auto"/>
        <w:rPr>
          <w:rFonts w:ascii="Arial" w:hAnsi="Arial" w:cs="Arial"/>
        </w:rPr>
      </w:pPr>
    </w:p>
    <w:p w:rsidR="002606AE" w:rsidRPr="001C0AB2" w:rsidRDefault="002606AE" w:rsidP="002606AE">
      <w:pPr>
        <w:spacing w:after="0" w:line="360" w:lineRule="auto"/>
        <w:jc w:val="both"/>
        <w:rPr>
          <w:rFonts w:ascii="Arial" w:hAnsi="Arial" w:cs="Arial"/>
        </w:rPr>
      </w:pPr>
      <w:r w:rsidRPr="001C0AB2">
        <w:rPr>
          <w:rFonts w:ascii="Arial" w:hAnsi="Arial" w:cs="Arial"/>
        </w:rPr>
        <w:t xml:space="preserve">Capítulo III referido a la Formación, Capacitación y Actualización del Personal, </w:t>
      </w:r>
      <w:r w:rsidRPr="001C0AB2">
        <w:rPr>
          <w:rFonts w:ascii="Arial" w:hAnsi="Arial" w:cs="Arial"/>
          <w:b/>
        </w:rPr>
        <w:t>Artículo 89</w:t>
      </w:r>
      <w:r w:rsidRPr="001C0AB2">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2606AE" w:rsidRPr="001C0AB2" w:rsidRDefault="002606AE" w:rsidP="002606AE">
      <w:pPr>
        <w:spacing w:after="0" w:line="360" w:lineRule="auto"/>
        <w:jc w:val="both"/>
        <w:rPr>
          <w:rFonts w:ascii="Arial" w:hAnsi="Arial" w:cs="Arial"/>
        </w:rPr>
      </w:pPr>
    </w:p>
    <w:p w:rsidR="002606AE" w:rsidRDefault="002606AE" w:rsidP="002606AE">
      <w:pPr>
        <w:spacing w:after="0" w:line="360" w:lineRule="auto"/>
        <w:jc w:val="both"/>
        <w:rPr>
          <w:rFonts w:ascii="Arial" w:hAnsi="Arial" w:cs="Arial"/>
        </w:rPr>
      </w:pPr>
      <w:r w:rsidRPr="001C0AB2">
        <w:rPr>
          <w:rFonts w:ascii="Arial" w:hAnsi="Arial" w:cs="Arial"/>
        </w:rPr>
        <w:t>Las autoridades sanitarias, sin perjuicio de la competencia que sobre la materia corresponda a las autoridades educativas y en coordinación con ellas, así como con la participación de las instituciones de salud, establecerán las normas y criterios para la capacitación y actualización de los recursos humanos para la salud</w:t>
      </w:r>
      <w:r>
        <w:rPr>
          <w:rFonts w:ascii="Arial" w:hAnsi="Arial" w:cs="Arial"/>
        </w:rPr>
        <w:t>.</w:t>
      </w:r>
    </w:p>
    <w:p w:rsidR="002606AE" w:rsidRDefault="002606AE" w:rsidP="002606AE">
      <w:pPr>
        <w:spacing w:after="0" w:line="360" w:lineRule="auto"/>
        <w:jc w:val="both"/>
        <w:rPr>
          <w:rFonts w:ascii="Arial" w:hAnsi="Arial" w:cs="Arial"/>
        </w:rPr>
      </w:pPr>
    </w:p>
    <w:p w:rsidR="002606AE" w:rsidRPr="001C0AB2" w:rsidRDefault="002606AE" w:rsidP="002606AE">
      <w:pPr>
        <w:autoSpaceDE w:val="0"/>
        <w:autoSpaceDN w:val="0"/>
        <w:adjustRightInd w:val="0"/>
        <w:spacing w:after="0" w:line="360" w:lineRule="auto"/>
        <w:jc w:val="both"/>
        <w:rPr>
          <w:rFonts w:ascii="Arial" w:hAnsi="Arial" w:cs="Arial"/>
        </w:rPr>
      </w:pPr>
      <w:r w:rsidRPr="001C0AB2">
        <w:rPr>
          <w:rFonts w:ascii="Arial" w:hAnsi="Arial" w:cs="Arial"/>
          <w:b/>
        </w:rPr>
        <w:t>Artículo 91.</w:t>
      </w:r>
      <w:r w:rsidRPr="001C0AB2">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2606AE" w:rsidRPr="001C0AB2" w:rsidRDefault="002606AE" w:rsidP="002606AE">
      <w:pPr>
        <w:autoSpaceDE w:val="0"/>
        <w:autoSpaceDN w:val="0"/>
        <w:adjustRightInd w:val="0"/>
        <w:spacing w:after="0" w:line="360" w:lineRule="auto"/>
        <w:jc w:val="both"/>
        <w:rPr>
          <w:rFonts w:ascii="Arial" w:hAnsi="Arial" w:cs="Arial"/>
        </w:rPr>
      </w:pPr>
    </w:p>
    <w:p w:rsidR="002606AE" w:rsidRPr="001C0AB2" w:rsidRDefault="002606AE" w:rsidP="002606AE">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lastRenderedPageBreak/>
        <w:t>El señalamiento de los requisitos para la apertura y funcionamiento de instituciones dedicadas a la formación de recursos humanos para la salud, en los diferentes niveles académicos y técnicos, y</w:t>
      </w:r>
    </w:p>
    <w:p w:rsidR="002606AE" w:rsidRPr="001C0AB2" w:rsidRDefault="002606AE" w:rsidP="002606AE">
      <w:pPr>
        <w:pStyle w:val="Prrafodelista"/>
        <w:numPr>
          <w:ilvl w:val="0"/>
          <w:numId w:val="3"/>
        </w:numPr>
        <w:autoSpaceDE w:val="0"/>
        <w:autoSpaceDN w:val="0"/>
        <w:adjustRightInd w:val="0"/>
        <w:spacing w:after="0" w:line="360" w:lineRule="auto"/>
        <w:ind w:left="284" w:hanging="284"/>
        <w:jc w:val="both"/>
        <w:rPr>
          <w:rFonts w:ascii="Arial" w:hAnsi="Arial" w:cs="Arial"/>
        </w:rPr>
      </w:pPr>
      <w:r w:rsidRPr="001C0AB2">
        <w:rPr>
          <w:rFonts w:ascii="Arial" w:hAnsi="Arial" w:cs="Arial"/>
        </w:rPr>
        <w:t>En la definición del perfil de los profesionales para la salud en sus etapas de formación.</w:t>
      </w:r>
    </w:p>
    <w:p w:rsidR="002606AE" w:rsidRPr="002406DE" w:rsidRDefault="002606AE" w:rsidP="002606AE">
      <w:pPr>
        <w:autoSpaceDE w:val="0"/>
        <w:autoSpaceDN w:val="0"/>
        <w:adjustRightInd w:val="0"/>
        <w:spacing w:after="0" w:line="360" w:lineRule="auto"/>
        <w:jc w:val="both"/>
        <w:rPr>
          <w:rFonts w:ascii="Arial" w:hAnsi="Arial" w:cs="Arial"/>
          <w:highlight w:val="lightGray"/>
        </w:rPr>
      </w:pPr>
    </w:p>
    <w:p w:rsidR="002606AE" w:rsidRPr="00F221E4" w:rsidRDefault="002606AE" w:rsidP="002606AE">
      <w:pPr>
        <w:autoSpaceDE w:val="0"/>
        <w:autoSpaceDN w:val="0"/>
        <w:adjustRightInd w:val="0"/>
        <w:spacing w:after="0" w:line="360" w:lineRule="auto"/>
        <w:jc w:val="both"/>
        <w:rPr>
          <w:rFonts w:ascii="Arial" w:hAnsi="Arial" w:cs="Arial"/>
        </w:rPr>
      </w:pPr>
      <w:r w:rsidRPr="00F221E4">
        <w:rPr>
          <w:rFonts w:ascii="Arial" w:hAnsi="Arial" w:cs="Arial"/>
          <w:b/>
        </w:rPr>
        <w:t>Artículo 92</w:t>
      </w:r>
      <w:r w:rsidRPr="00F221E4">
        <w:rPr>
          <w:rFonts w:ascii="Arial" w:hAnsi="Arial" w:cs="Arial"/>
        </w:rPr>
        <w:t>. Las Secretarías de Salud y de Educación Pública y los gobiernos de las entidades federativas, en sus respectivos ámbitos de competencia, impulsarán y fomentarán la formación, capacitación y actualización de los recursos humanos para los servicios de salud, de conformidad con los objetivos y prioridades del Sistema Nacional de Salud, de los sistemas estatales de salud y de los programas educativos</w:t>
      </w:r>
      <w:r w:rsidRPr="00F221E4">
        <w:rPr>
          <w:rStyle w:val="Refdenotaalpie"/>
          <w:rFonts w:ascii="Arial" w:hAnsi="Arial"/>
        </w:rPr>
        <w:footnoteReference w:id="68"/>
      </w:r>
      <w:r w:rsidRPr="00F221E4">
        <w:rPr>
          <w:rFonts w:ascii="Arial" w:hAnsi="Arial" w:cs="Arial"/>
        </w:rPr>
        <w:t>.</w:t>
      </w:r>
    </w:p>
    <w:p w:rsidR="002606AE" w:rsidRPr="002406DE" w:rsidRDefault="002606AE" w:rsidP="002606AE">
      <w:pPr>
        <w:autoSpaceDE w:val="0"/>
        <w:autoSpaceDN w:val="0"/>
        <w:adjustRightInd w:val="0"/>
        <w:spacing w:after="0" w:line="360" w:lineRule="auto"/>
        <w:jc w:val="both"/>
        <w:rPr>
          <w:rFonts w:ascii="Arial" w:hAnsi="Arial" w:cs="Arial"/>
          <w:highlight w:val="lightGray"/>
        </w:rPr>
      </w:pPr>
    </w:p>
    <w:p w:rsidR="002606AE" w:rsidRDefault="002606AE" w:rsidP="002606AE">
      <w:pPr>
        <w:spacing w:after="0" w:line="360" w:lineRule="auto"/>
        <w:jc w:val="both"/>
        <w:rPr>
          <w:rFonts w:ascii="Arial" w:hAnsi="Arial" w:cs="Arial"/>
        </w:rPr>
      </w:pPr>
      <w:r w:rsidRPr="00F221E4">
        <w:rPr>
          <w:rFonts w:ascii="Arial" w:hAnsi="Arial" w:cs="Arial"/>
          <w:b/>
        </w:rPr>
        <w:t>Artículo 95.</w:t>
      </w:r>
      <w:r w:rsidRPr="009405D8">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2606AE" w:rsidRDefault="002606AE" w:rsidP="002606AE">
      <w:pPr>
        <w:spacing w:after="0" w:line="360" w:lineRule="auto"/>
        <w:jc w:val="both"/>
        <w:rPr>
          <w:rFonts w:ascii="Arial" w:hAnsi="Arial" w:cs="Arial"/>
        </w:rPr>
      </w:pPr>
      <w:r w:rsidRPr="00F25270">
        <w:rPr>
          <w:rFonts w:ascii="Arial" w:hAnsi="Arial" w:cs="Arial"/>
        </w:rPr>
        <w:t xml:space="preserve">En el Título </w:t>
      </w:r>
      <w:r>
        <w:rPr>
          <w:rFonts w:ascii="Arial" w:hAnsi="Arial" w:cs="Arial"/>
        </w:rPr>
        <w:t>Quin</w:t>
      </w:r>
      <w:r w:rsidRPr="00F25270">
        <w:rPr>
          <w:rFonts w:ascii="Arial" w:hAnsi="Arial" w:cs="Arial"/>
        </w:rPr>
        <w:t>to</w:t>
      </w:r>
      <w:r>
        <w:rPr>
          <w:rFonts w:ascii="Arial" w:hAnsi="Arial" w:cs="Arial"/>
        </w:rPr>
        <w:t>, Capítulo Único,</w:t>
      </w:r>
      <w:r w:rsidRPr="00F25270">
        <w:rPr>
          <w:rFonts w:ascii="Arial" w:hAnsi="Arial" w:cs="Arial"/>
        </w:rPr>
        <w:t xml:space="preserve"> </w:t>
      </w:r>
      <w:r>
        <w:rPr>
          <w:rFonts w:ascii="Arial" w:hAnsi="Arial" w:cs="Arial"/>
        </w:rPr>
        <w:t>relativo a la investigación para la</w:t>
      </w:r>
      <w:r w:rsidRPr="00F25270">
        <w:rPr>
          <w:rFonts w:ascii="Arial" w:hAnsi="Arial" w:cs="Arial"/>
        </w:rPr>
        <w:t xml:space="preserve"> Salud, Capítulo I </w:t>
      </w:r>
      <w:r w:rsidRPr="00CA0725">
        <w:rPr>
          <w:rFonts w:ascii="Arial" w:hAnsi="Arial" w:cs="Arial"/>
          <w:b/>
        </w:rPr>
        <w:t xml:space="preserve">Artículo </w:t>
      </w:r>
      <w:r>
        <w:rPr>
          <w:rFonts w:ascii="Arial" w:hAnsi="Arial" w:cs="Arial"/>
          <w:b/>
        </w:rPr>
        <w:t xml:space="preserve">96. </w:t>
      </w:r>
      <w:r w:rsidRPr="009405D8">
        <w:rPr>
          <w:rFonts w:ascii="Arial" w:hAnsi="Arial" w:cs="Arial"/>
        </w:rPr>
        <w:t>La investigación para la salud comprende el desarrollo de acciones que contribuyan:</w:t>
      </w:r>
    </w:p>
    <w:p w:rsidR="002606AE" w:rsidRPr="009405D8" w:rsidRDefault="002606AE" w:rsidP="002606AE">
      <w:pPr>
        <w:spacing w:after="0" w:line="360" w:lineRule="auto"/>
        <w:rPr>
          <w:rFonts w:ascii="Arial" w:hAnsi="Arial" w:cs="Arial"/>
        </w:rPr>
      </w:pPr>
      <w:r w:rsidRPr="009405D8">
        <w:rPr>
          <w:rFonts w:ascii="Arial" w:hAnsi="Arial" w:cs="Arial"/>
        </w:rPr>
        <w:t>I. Al conocimiento de los procesos biológicos y psicológicos en los seres humanos;</w:t>
      </w:r>
    </w:p>
    <w:p w:rsidR="002606AE" w:rsidRPr="009405D8" w:rsidRDefault="002606AE" w:rsidP="002606AE">
      <w:pPr>
        <w:spacing w:after="0" w:line="360" w:lineRule="auto"/>
        <w:rPr>
          <w:rFonts w:ascii="Arial" w:hAnsi="Arial" w:cs="Arial"/>
        </w:rPr>
      </w:pPr>
      <w:r w:rsidRPr="009405D8">
        <w:rPr>
          <w:rFonts w:ascii="Arial" w:hAnsi="Arial" w:cs="Arial"/>
        </w:rPr>
        <w:t>II. Al conocimiento de los vínculos entre las causas de enfermedad, la práctica médica y la estructura social;</w:t>
      </w:r>
    </w:p>
    <w:p w:rsidR="002606AE" w:rsidRPr="009405D8" w:rsidRDefault="002606AE" w:rsidP="002606AE">
      <w:pPr>
        <w:spacing w:after="0" w:line="360" w:lineRule="auto"/>
        <w:rPr>
          <w:rFonts w:ascii="Arial" w:hAnsi="Arial" w:cs="Arial"/>
        </w:rPr>
      </w:pPr>
      <w:r w:rsidRPr="009405D8">
        <w:rPr>
          <w:rFonts w:ascii="Arial" w:hAnsi="Arial" w:cs="Arial"/>
        </w:rPr>
        <w:t>III. A la prevención y control de los problemas de salud que se consideren prioritarios para la población;</w:t>
      </w:r>
    </w:p>
    <w:p w:rsidR="002606AE" w:rsidRPr="009405D8" w:rsidRDefault="002606AE" w:rsidP="002606AE">
      <w:pPr>
        <w:spacing w:after="0" w:line="360" w:lineRule="auto"/>
        <w:rPr>
          <w:rFonts w:ascii="Arial" w:hAnsi="Arial" w:cs="Arial"/>
        </w:rPr>
      </w:pPr>
      <w:r w:rsidRPr="009405D8">
        <w:rPr>
          <w:rFonts w:ascii="Arial" w:hAnsi="Arial" w:cs="Arial"/>
        </w:rPr>
        <w:t>IV. Al conocimiento y control de los efectos nocivos del ambiente en la salud;</w:t>
      </w:r>
    </w:p>
    <w:p w:rsidR="002606AE" w:rsidRPr="009405D8" w:rsidRDefault="002606AE" w:rsidP="002606AE">
      <w:pPr>
        <w:spacing w:after="0" w:line="360" w:lineRule="auto"/>
        <w:rPr>
          <w:rFonts w:ascii="Arial" w:hAnsi="Arial" w:cs="Arial"/>
        </w:rPr>
      </w:pPr>
      <w:r w:rsidRPr="009405D8">
        <w:rPr>
          <w:rFonts w:ascii="Arial" w:hAnsi="Arial" w:cs="Arial"/>
        </w:rPr>
        <w:t>V. Al estudio de las técnicas y métodos que se recomienden o empleen para la prestación de servicios de salud, y</w:t>
      </w:r>
    </w:p>
    <w:p w:rsidR="002606AE" w:rsidRPr="009405D8" w:rsidRDefault="002606AE" w:rsidP="002606AE">
      <w:pPr>
        <w:spacing w:after="0" w:line="360" w:lineRule="auto"/>
        <w:rPr>
          <w:rFonts w:ascii="Arial" w:hAnsi="Arial" w:cs="Arial"/>
        </w:rPr>
      </w:pPr>
      <w:r w:rsidRPr="009405D8">
        <w:rPr>
          <w:rFonts w:ascii="Arial" w:hAnsi="Arial" w:cs="Arial"/>
        </w:rPr>
        <w:t>VI. A la producción nacional de insumos para la salud.</w:t>
      </w:r>
    </w:p>
    <w:p w:rsidR="002606AE" w:rsidRPr="00353730" w:rsidRDefault="00EC2116" w:rsidP="002606AE">
      <w:pPr>
        <w:spacing w:after="0" w:line="360" w:lineRule="auto"/>
        <w:jc w:val="both"/>
        <w:rPr>
          <w:rFonts w:ascii="Arial" w:hAnsi="Arial" w:cs="Arial"/>
          <w:u w:val="single"/>
        </w:rPr>
      </w:pPr>
      <w:r>
        <w:rPr>
          <w:rFonts w:ascii="Arial" w:hAnsi="Arial" w:cs="Arial"/>
        </w:rPr>
        <w:t>Asimismo,</w:t>
      </w:r>
      <w:r w:rsidR="002606AE">
        <w:rPr>
          <w:rFonts w:ascii="Arial" w:hAnsi="Arial" w:cs="Arial"/>
        </w:rPr>
        <w:t xml:space="preserve"> se atenderá lo dispuesto en el Reglamento de la Ley General de Salud en Materia de Investigación para la Salud, publicado en el Diario Oficial de la Federación el 23 de diciembre de 1986.</w:t>
      </w:r>
    </w:p>
    <w:p w:rsidR="002606AE" w:rsidRDefault="002606AE" w:rsidP="002606AE">
      <w:pPr>
        <w:spacing w:after="0" w:line="360" w:lineRule="auto"/>
        <w:jc w:val="both"/>
        <w:rPr>
          <w:rFonts w:ascii="Arial" w:hAnsi="Arial" w:cs="Arial"/>
        </w:rPr>
      </w:pPr>
      <w:r w:rsidRPr="009405D8">
        <w:rPr>
          <w:rFonts w:ascii="Arial" w:hAnsi="Arial" w:cs="Arial"/>
        </w:rPr>
        <w:lastRenderedPageBreak/>
        <w:t>La operación de los programas correspondientes en los establecimientos de salud, se llevará a cabo de acuerdo a los lineamientos establecidos por cada una de las instituciones de salud y lo que determinen las autoridades sanitarias competentes.</w:t>
      </w:r>
    </w:p>
    <w:p w:rsidR="002606AE" w:rsidRDefault="002606AE" w:rsidP="002606AE">
      <w:pPr>
        <w:autoSpaceDE w:val="0"/>
        <w:autoSpaceDN w:val="0"/>
        <w:adjustRightInd w:val="0"/>
        <w:spacing w:after="0" w:line="240" w:lineRule="auto"/>
        <w:jc w:val="both"/>
        <w:rPr>
          <w:rFonts w:ascii="Arial" w:hAnsi="Arial" w:cs="Arial"/>
        </w:rPr>
      </w:pPr>
    </w:p>
    <w:p w:rsidR="002B17C0" w:rsidRDefault="002B17C0" w:rsidP="002606AE">
      <w:pPr>
        <w:spacing w:after="0" w:line="360" w:lineRule="auto"/>
        <w:jc w:val="both"/>
        <w:rPr>
          <w:rFonts w:ascii="Arial" w:hAnsi="Arial" w:cs="Arial"/>
        </w:rPr>
      </w:pPr>
    </w:p>
    <w:p w:rsidR="002B17C0" w:rsidRPr="002B17C0" w:rsidRDefault="002B17C0" w:rsidP="002606AE">
      <w:pPr>
        <w:spacing w:after="0" w:line="360" w:lineRule="auto"/>
        <w:jc w:val="both"/>
        <w:rPr>
          <w:rFonts w:ascii="Arial" w:hAnsi="Arial" w:cs="Arial"/>
          <w:b/>
          <w:sz w:val="20"/>
        </w:rPr>
      </w:pPr>
      <w:r w:rsidRPr="002B17C0">
        <w:rPr>
          <w:rFonts w:ascii="Arial" w:hAnsi="Arial" w:cs="Arial"/>
          <w:b/>
        </w:rPr>
        <w:t xml:space="preserve">3.4. </w:t>
      </w:r>
      <w:r w:rsidRPr="002B17C0">
        <w:rPr>
          <w:rFonts w:ascii="Arial" w:hAnsi="Arial" w:cs="Arial"/>
          <w:b/>
          <w:sz w:val="20"/>
        </w:rPr>
        <w:t>NORMA OFICIAL MEXICANA</w:t>
      </w:r>
    </w:p>
    <w:p w:rsidR="002606AE" w:rsidRDefault="002606AE" w:rsidP="002606AE">
      <w:pPr>
        <w:spacing w:after="0" w:line="360" w:lineRule="auto"/>
        <w:jc w:val="both"/>
        <w:rPr>
          <w:rFonts w:ascii="Arial" w:hAnsi="Arial" w:cs="Arial"/>
        </w:rPr>
      </w:pPr>
      <w:r>
        <w:rPr>
          <w:rFonts w:ascii="Arial" w:hAnsi="Arial" w:cs="Arial"/>
        </w:rPr>
        <w:t xml:space="preserve">La regulación para la operación, organización, funcionamiento y para la obtención de la Opinión Técnico Académica para el programa de especialidad médica en Ortopedia, se describen </w:t>
      </w:r>
      <w:r w:rsidR="002B17C0">
        <w:rPr>
          <w:rFonts w:ascii="Arial" w:hAnsi="Arial" w:cs="Arial"/>
        </w:rPr>
        <w:t>en las</w:t>
      </w:r>
      <w:r>
        <w:rPr>
          <w:rFonts w:ascii="Arial" w:hAnsi="Arial" w:cs="Arial"/>
        </w:rPr>
        <w:t xml:space="preserve"> siguientes normas oficiales:</w:t>
      </w:r>
    </w:p>
    <w:p w:rsidR="002606AE" w:rsidRDefault="002606AE" w:rsidP="002606AE">
      <w:pPr>
        <w:autoSpaceDE w:val="0"/>
        <w:autoSpaceDN w:val="0"/>
        <w:adjustRightInd w:val="0"/>
        <w:spacing w:after="0" w:line="240" w:lineRule="auto"/>
        <w:jc w:val="both"/>
        <w:rPr>
          <w:rFonts w:ascii="Arial" w:hAnsi="Arial" w:cs="Arial"/>
        </w:rPr>
      </w:pPr>
    </w:p>
    <w:p w:rsidR="002606AE" w:rsidRDefault="002606AE" w:rsidP="002606AE">
      <w:pPr>
        <w:autoSpaceDE w:val="0"/>
        <w:autoSpaceDN w:val="0"/>
        <w:adjustRightInd w:val="0"/>
        <w:spacing w:after="0" w:line="360" w:lineRule="auto"/>
        <w:contextualSpacing/>
        <w:jc w:val="both"/>
        <w:rPr>
          <w:rFonts w:ascii="Arial" w:hAnsi="Arial" w:cs="Arial"/>
        </w:rPr>
      </w:pPr>
      <w:r w:rsidRPr="009C2883">
        <w:rPr>
          <w:rFonts w:ascii="Arial" w:hAnsi="Arial" w:cs="Arial"/>
        </w:rPr>
        <w:t>N</w:t>
      </w:r>
      <w:r>
        <w:rPr>
          <w:rFonts w:ascii="Arial" w:hAnsi="Arial" w:cs="Arial"/>
        </w:rPr>
        <w:t>orma</w:t>
      </w:r>
      <w:r w:rsidRPr="009C2883">
        <w:rPr>
          <w:rFonts w:ascii="Arial" w:hAnsi="Arial" w:cs="Arial"/>
        </w:rPr>
        <w:t xml:space="preserve"> Oficial Mexicana NOM-016-SSA3-2012, Que establece las características mínimas de </w:t>
      </w:r>
      <w:r w:rsidRPr="00C61481">
        <w:rPr>
          <w:rFonts w:ascii="Arial" w:hAnsi="Arial" w:cs="Arial"/>
          <w:b/>
        </w:rPr>
        <w:t>infraestructura y equipamiento de hospitales y consultorios de atención médica especializada</w:t>
      </w:r>
      <w:r w:rsidRPr="009C2883">
        <w:rPr>
          <w:rFonts w:ascii="Arial" w:hAnsi="Arial" w:cs="Arial"/>
        </w:rPr>
        <w:t>. Publicada el 8 de enero de 2013.</w:t>
      </w:r>
    </w:p>
    <w:p w:rsidR="002606AE" w:rsidRDefault="002606AE" w:rsidP="002606AE">
      <w:pPr>
        <w:autoSpaceDE w:val="0"/>
        <w:autoSpaceDN w:val="0"/>
        <w:adjustRightInd w:val="0"/>
        <w:spacing w:after="0" w:line="360" w:lineRule="auto"/>
        <w:contextualSpacing/>
        <w:jc w:val="both"/>
        <w:rPr>
          <w:rFonts w:ascii="Arial" w:hAnsi="Arial" w:cs="Arial"/>
        </w:rPr>
      </w:pPr>
      <w:r w:rsidRPr="002606AE">
        <w:rPr>
          <w:rFonts w:ascii="Arial" w:hAnsi="Arial" w:cs="Arial"/>
          <w:shd w:val="clear" w:color="auto" w:fill="FFFFFF"/>
        </w:rPr>
        <w:t xml:space="preserve">Norma Oficial Mexicana NOM-168-SSA1-1998, </w:t>
      </w:r>
      <w:r w:rsidRPr="002606AE">
        <w:rPr>
          <w:rFonts w:ascii="Arial" w:hAnsi="Arial" w:cs="Arial"/>
          <w:b/>
          <w:shd w:val="clear" w:color="auto" w:fill="FFFFFF"/>
        </w:rPr>
        <w:t>del expediente clínico</w:t>
      </w:r>
      <w:r w:rsidRPr="00C7600E">
        <w:rPr>
          <w:rFonts w:ascii="Arial" w:hAnsi="Arial" w:cs="Arial"/>
        </w:rPr>
        <w:t xml:space="preserve">. Publicada el 30 de septiembre de 1999 y </w:t>
      </w:r>
      <w:r w:rsidR="00FC4954" w:rsidRPr="00C7600E">
        <w:rPr>
          <w:rFonts w:ascii="Arial" w:hAnsi="Arial" w:cs="Arial"/>
        </w:rPr>
        <w:t>modificada el</w:t>
      </w:r>
      <w:r w:rsidRPr="00C7600E">
        <w:rPr>
          <w:rFonts w:ascii="Arial" w:hAnsi="Arial" w:cs="Arial"/>
        </w:rPr>
        <w:t xml:space="preserve"> 22 de agosto de 2003.</w:t>
      </w:r>
    </w:p>
    <w:p w:rsidR="002606AE" w:rsidRDefault="002606AE" w:rsidP="002606AE">
      <w:pPr>
        <w:autoSpaceDE w:val="0"/>
        <w:autoSpaceDN w:val="0"/>
        <w:adjustRightInd w:val="0"/>
        <w:spacing w:after="0" w:line="360" w:lineRule="auto"/>
        <w:jc w:val="both"/>
        <w:rPr>
          <w:rFonts w:ascii="Arial" w:hAnsi="Arial" w:cs="Arial"/>
        </w:rPr>
      </w:pPr>
      <w:r w:rsidRPr="00115433">
        <w:rPr>
          <w:rFonts w:ascii="Arial" w:hAnsi="Arial" w:cs="Arial"/>
          <w:bCs/>
        </w:rPr>
        <w:t xml:space="preserve">NORMA Oficial Mexicana NOM-001-SSA3-2012, Educación en salud. </w:t>
      </w:r>
      <w:r w:rsidRPr="00E921BE">
        <w:rPr>
          <w:rFonts w:ascii="Arial" w:hAnsi="Arial" w:cs="Arial"/>
          <w:b/>
          <w:bCs/>
        </w:rPr>
        <w:t>Para la organización y funcionamiento de residencias médicas</w:t>
      </w:r>
      <w:r w:rsidRPr="00115433">
        <w:rPr>
          <w:rFonts w:ascii="Arial" w:hAnsi="Arial" w:cs="Arial"/>
          <w:bCs/>
        </w:rPr>
        <w:t>.</w:t>
      </w:r>
      <w:r>
        <w:rPr>
          <w:rFonts w:ascii="Arial" w:hAnsi="Arial" w:cs="Arial"/>
          <w:bCs/>
        </w:rPr>
        <w:t xml:space="preserve"> Publicada el </w:t>
      </w:r>
      <w:r w:rsidRPr="00115433">
        <w:rPr>
          <w:rFonts w:ascii="Arial" w:hAnsi="Arial" w:cs="Arial"/>
        </w:rPr>
        <w:t>4 de enero de 2013</w:t>
      </w:r>
      <w:r>
        <w:rPr>
          <w:rFonts w:ascii="Arial" w:hAnsi="Arial" w:cs="Arial"/>
        </w:rPr>
        <w:t>.</w:t>
      </w:r>
    </w:p>
    <w:p w:rsidR="002606AE" w:rsidRDefault="002606AE" w:rsidP="002606AE">
      <w:pPr>
        <w:autoSpaceDE w:val="0"/>
        <w:autoSpaceDN w:val="0"/>
        <w:adjustRightInd w:val="0"/>
        <w:spacing w:after="0" w:line="360" w:lineRule="auto"/>
        <w:jc w:val="both"/>
        <w:rPr>
          <w:rFonts w:ascii="Arial" w:hAnsi="Arial" w:cs="Arial"/>
        </w:rPr>
      </w:pPr>
      <w:r>
        <w:rPr>
          <w:rFonts w:ascii="Arial" w:hAnsi="Arial" w:cs="Arial"/>
        </w:rPr>
        <w:t xml:space="preserve">Norma Oficial Mexicana NOM-027-SSA3-2013, Que establece los </w:t>
      </w:r>
      <w:r w:rsidRPr="00C61481">
        <w:rPr>
          <w:rFonts w:ascii="Arial" w:hAnsi="Arial" w:cs="Arial"/>
          <w:b/>
        </w:rPr>
        <w:t>criterios de funcionamiento y atención en los servicios de urgencias</w:t>
      </w:r>
      <w:r>
        <w:rPr>
          <w:rFonts w:ascii="Arial" w:hAnsi="Arial" w:cs="Arial"/>
        </w:rPr>
        <w:t xml:space="preserve"> de los establecimientos para la atención médica. Publicada el 4 de septiembre de 2013.</w:t>
      </w:r>
    </w:p>
    <w:p w:rsidR="002606AE" w:rsidRDefault="002606AE" w:rsidP="002606AE">
      <w:pPr>
        <w:autoSpaceDE w:val="0"/>
        <w:autoSpaceDN w:val="0"/>
        <w:adjustRightInd w:val="0"/>
        <w:spacing w:after="0" w:line="360" w:lineRule="auto"/>
        <w:jc w:val="both"/>
        <w:rPr>
          <w:rFonts w:ascii="Arial" w:hAnsi="Arial" w:cs="Arial"/>
        </w:rPr>
      </w:pPr>
      <w:r w:rsidRPr="00082CB0">
        <w:rPr>
          <w:rFonts w:ascii="Arial" w:hAnsi="Arial" w:cs="Arial"/>
        </w:rPr>
        <w:t xml:space="preserve">NORMA Oficial Mexicana NOM-025-SSA3-2013, Para la </w:t>
      </w:r>
      <w:r w:rsidRPr="00C61481">
        <w:rPr>
          <w:rFonts w:ascii="Arial" w:hAnsi="Arial" w:cs="Arial"/>
          <w:b/>
        </w:rPr>
        <w:t>organización y funcionamiento de las unidades de cuidados intensivos</w:t>
      </w:r>
      <w:r w:rsidRPr="00082CB0">
        <w:rPr>
          <w:rFonts w:ascii="Arial" w:hAnsi="Arial" w:cs="Arial"/>
        </w:rPr>
        <w:t>.</w:t>
      </w:r>
    </w:p>
    <w:p w:rsidR="002606AE" w:rsidRDefault="002606AE" w:rsidP="002606AE">
      <w:pPr>
        <w:autoSpaceDE w:val="0"/>
        <w:autoSpaceDN w:val="0"/>
        <w:adjustRightInd w:val="0"/>
        <w:spacing w:after="0" w:line="360" w:lineRule="auto"/>
        <w:jc w:val="both"/>
        <w:rPr>
          <w:rFonts w:ascii="Arial" w:hAnsi="Arial" w:cs="Arial"/>
        </w:rPr>
      </w:pPr>
      <w:r>
        <w:rPr>
          <w:rFonts w:ascii="Arial" w:hAnsi="Arial" w:cs="Arial"/>
        </w:rPr>
        <w:t xml:space="preserve">Reglamento de la </w:t>
      </w:r>
      <w:r w:rsidRPr="00C61481">
        <w:rPr>
          <w:rFonts w:ascii="Arial" w:hAnsi="Arial" w:cs="Arial"/>
          <w:b/>
        </w:rPr>
        <w:t>ley de voluntad anticipada</w:t>
      </w:r>
      <w:r>
        <w:rPr>
          <w:rFonts w:ascii="Arial" w:hAnsi="Arial" w:cs="Arial"/>
        </w:rPr>
        <w:t xml:space="preserve"> para el Distrito Federal. Gaceta Oficial del D.F. 4 de abril de 2008.</w:t>
      </w:r>
    </w:p>
    <w:p w:rsidR="002606AE" w:rsidRDefault="002606AE" w:rsidP="002606AE">
      <w:pPr>
        <w:autoSpaceDE w:val="0"/>
        <w:autoSpaceDN w:val="0"/>
        <w:adjustRightInd w:val="0"/>
        <w:spacing w:after="0" w:line="360" w:lineRule="auto"/>
        <w:jc w:val="both"/>
        <w:rPr>
          <w:rFonts w:ascii="Arial" w:hAnsi="Arial" w:cs="Arial"/>
        </w:rPr>
      </w:pPr>
      <w:r w:rsidRPr="00082CB0">
        <w:rPr>
          <w:rFonts w:ascii="Arial" w:hAnsi="Arial" w:cs="Arial"/>
        </w:rPr>
        <w:t xml:space="preserve">NORMA Oficial Mexicana NOM-017-SSA2-2012, Para la </w:t>
      </w:r>
      <w:r w:rsidRPr="00C61481">
        <w:rPr>
          <w:rFonts w:ascii="Arial" w:hAnsi="Arial" w:cs="Arial"/>
          <w:b/>
        </w:rPr>
        <w:t>vigilancia epidemiológica</w:t>
      </w:r>
      <w:r w:rsidRPr="00082CB0">
        <w:rPr>
          <w:rFonts w:ascii="Arial" w:hAnsi="Arial" w:cs="Arial"/>
        </w:rPr>
        <w:t>.</w:t>
      </w:r>
    </w:p>
    <w:p w:rsidR="002606AE" w:rsidRPr="00082CB0" w:rsidRDefault="002606AE" w:rsidP="002606AE">
      <w:pPr>
        <w:autoSpaceDE w:val="0"/>
        <w:autoSpaceDN w:val="0"/>
        <w:adjustRightInd w:val="0"/>
        <w:spacing w:after="0" w:line="360" w:lineRule="auto"/>
        <w:jc w:val="both"/>
        <w:rPr>
          <w:rFonts w:ascii="Arial" w:hAnsi="Arial" w:cs="Arial"/>
        </w:rPr>
      </w:pPr>
    </w:p>
    <w:p w:rsidR="00EC00F5" w:rsidRPr="00D036D9" w:rsidRDefault="00EC00F5" w:rsidP="00EC00F5">
      <w:pPr>
        <w:autoSpaceDE w:val="0"/>
        <w:autoSpaceDN w:val="0"/>
        <w:adjustRightInd w:val="0"/>
        <w:spacing w:after="0" w:line="360" w:lineRule="auto"/>
        <w:jc w:val="both"/>
        <w:rPr>
          <w:rFonts w:ascii="Arial" w:hAnsi="Arial" w:cs="Arial"/>
          <w:b/>
          <w:bCs/>
        </w:rPr>
      </w:pPr>
      <w:r w:rsidRPr="00D036D9">
        <w:rPr>
          <w:rFonts w:ascii="Arial" w:hAnsi="Arial" w:cs="Arial"/>
          <w:b/>
          <w:bCs/>
        </w:rPr>
        <w:t>3.5. L</w:t>
      </w:r>
      <w:r w:rsidRPr="00D036D9">
        <w:rPr>
          <w:rFonts w:ascii="Arial" w:hAnsi="Arial" w:cs="Arial"/>
          <w:b/>
          <w:bCs/>
          <w:sz w:val="20"/>
        </w:rPr>
        <w:t>INEAMIENTOS</w:t>
      </w:r>
      <w:r w:rsidRPr="00D036D9">
        <w:rPr>
          <w:rFonts w:ascii="Arial" w:hAnsi="Arial" w:cs="Arial"/>
          <w:bCs/>
          <w:sz w:val="20"/>
        </w:rPr>
        <w:t xml:space="preserve"> </w:t>
      </w:r>
      <w:r w:rsidRPr="00D036D9">
        <w:rPr>
          <w:rFonts w:ascii="Arial" w:hAnsi="Arial" w:cs="Arial"/>
          <w:b/>
          <w:bCs/>
          <w:sz w:val="20"/>
        </w:rPr>
        <w:t>CIFRHS</w:t>
      </w:r>
    </w:p>
    <w:p w:rsidR="002B17C0" w:rsidRPr="00005864" w:rsidRDefault="002B17C0" w:rsidP="002B17C0">
      <w:pPr>
        <w:autoSpaceDE w:val="0"/>
        <w:autoSpaceDN w:val="0"/>
        <w:adjustRightInd w:val="0"/>
        <w:spacing w:after="0" w:line="360" w:lineRule="auto"/>
        <w:jc w:val="both"/>
        <w:rPr>
          <w:rFonts w:ascii="Arial" w:hAnsi="Arial" w:cs="Arial"/>
        </w:rPr>
      </w:pPr>
      <w:r>
        <w:rPr>
          <w:rFonts w:ascii="Arial" w:hAnsi="Arial" w:cs="Arial"/>
          <w:bCs/>
        </w:rPr>
        <w:t xml:space="preserve">Se toma como base el documento </w:t>
      </w:r>
      <w:r w:rsidRPr="00F24A2A">
        <w:rPr>
          <w:rFonts w:ascii="Arial" w:hAnsi="Arial" w:cs="Arial"/>
          <w:bCs/>
        </w:rPr>
        <w:t>para obtener la opinión técnico académica de la Comisión Interinstitucional para la Formación de Recursos</w:t>
      </w:r>
      <w:r>
        <w:rPr>
          <w:rFonts w:ascii="Arial" w:hAnsi="Arial" w:cs="Arial"/>
          <w:bCs/>
        </w:rPr>
        <w:t xml:space="preserve"> </w:t>
      </w:r>
      <w:r w:rsidRPr="00F24A2A">
        <w:rPr>
          <w:rFonts w:ascii="Arial" w:hAnsi="Arial" w:cs="Arial"/>
          <w:bCs/>
        </w:rPr>
        <w:t>Humanos para la Salud, respecto de la apertura y funcionamiento de Instituciones Particulares de Educación Superior dedicadas a la</w:t>
      </w:r>
      <w:r>
        <w:rPr>
          <w:rFonts w:ascii="Arial" w:hAnsi="Arial" w:cs="Arial"/>
          <w:bCs/>
        </w:rPr>
        <w:t xml:space="preserve"> </w:t>
      </w:r>
      <w:r w:rsidRPr="00F24A2A">
        <w:rPr>
          <w:rFonts w:ascii="Arial" w:hAnsi="Arial" w:cs="Arial"/>
          <w:bCs/>
        </w:rPr>
        <w:t>formación de Recursos Humanos para la Salud.</w:t>
      </w:r>
      <w:r>
        <w:rPr>
          <w:rFonts w:ascii="Arial" w:hAnsi="Arial" w:cs="Arial"/>
          <w:bCs/>
        </w:rPr>
        <w:t xml:space="preserve"> Publicada el 14 de agosto de 2018, así como el </w:t>
      </w:r>
      <w:r w:rsidRPr="00005864">
        <w:rPr>
          <w:rFonts w:ascii="Arial" w:hAnsi="Arial" w:cs="Arial"/>
        </w:rPr>
        <w:t>Reglamento de la Ley General de Salud en materia de investigación para la salud.</w:t>
      </w:r>
    </w:p>
    <w:p w:rsidR="002B17C0" w:rsidRDefault="002B17C0" w:rsidP="007F2637">
      <w:pPr>
        <w:spacing w:after="0" w:line="360" w:lineRule="auto"/>
        <w:ind w:right="-81"/>
        <w:jc w:val="both"/>
        <w:rPr>
          <w:rFonts w:ascii="Arial" w:eastAsia="Times New Roman" w:hAnsi="Arial" w:cs="Arial"/>
          <w:color w:val="000000"/>
          <w:szCs w:val="24"/>
          <w:lang w:bidi="en-US"/>
        </w:rPr>
      </w:pPr>
    </w:p>
    <w:p w:rsidR="0002197D" w:rsidRPr="009343CB" w:rsidRDefault="004D4002" w:rsidP="0002197D">
      <w:pPr>
        <w:spacing w:after="120" w:line="360" w:lineRule="auto"/>
        <w:ind w:right="-79"/>
        <w:jc w:val="both"/>
        <w:rPr>
          <w:rFonts w:ascii="Arial" w:hAnsi="Arial" w:cs="Arial"/>
          <w:b/>
        </w:rPr>
      </w:pPr>
      <w:r>
        <w:rPr>
          <w:rFonts w:ascii="Arial" w:hAnsi="Arial" w:cs="Arial"/>
          <w:b/>
        </w:rPr>
        <w:lastRenderedPageBreak/>
        <w:t xml:space="preserve">IV. </w:t>
      </w:r>
      <w:r w:rsidR="0002197D" w:rsidRPr="009343CB">
        <w:rPr>
          <w:rFonts w:ascii="Arial" w:hAnsi="Arial" w:cs="Arial"/>
          <w:b/>
        </w:rPr>
        <w:t>DEMANDA EDUCATIVA</w:t>
      </w:r>
      <w:r w:rsidR="002B17C0">
        <w:rPr>
          <w:rFonts w:ascii="Arial" w:hAnsi="Arial" w:cs="Arial"/>
          <w:b/>
        </w:rPr>
        <w:t xml:space="preserve"> </w:t>
      </w:r>
      <w:r w:rsidR="00596679">
        <w:rPr>
          <w:rFonts w:ascii="Arial" w:hAnsi="Arial" w:cs="Arial"/>
          <w:b/>
        </w:rPr>
        <w:t xml:space="preserve">EN </w:t>
      </w:r>
      <w:r w:rsidR="002B17C0">
        <w:rPr>
          <w:rFonts w:ascii="Arial" w:hAnsi="Arial" w:cs="Arial"/>
          <w:b/>
        </w:rPr>
        <w:t>MEDICINA DEL ENFERMO ADULTO EN ESTADO CRÍTICO</w:t>
      </w:r>
    </w:p>
    <w:p w:rsidR="0002197D" w:rsidRDefault="0002197D" w:rsidP="0002197D">
      <w:pPr>
        <w:spacing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69"/>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70"/>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71"/>
      </w:r>
      <w:r>
        <w:rPr>
          <w:rFonts w:ascii="Arial" w:hAnsi="Arial" w:cs="Arial"/>
          <w:lang w:eastAsia="es-MX"/>
        </w:rPr>
        <w:t xml:space="preserve">. </w:t>
      </w:r>
    </w:p>
    <w:p w:rsidR="0002197D" w:rsidRDefault="0002197D" w:rsidP="0002197D">
      <w:pPr>
        <w:spacing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características de la especialidad y necesidades personales y sociales</w:t>
      </w:r>
      <w:r>
        <w:rPr>
          <w:rStyle w:val="Refdenotaalpie"/>
          <w:rFonts w:ascii="Arial" w:hAnsi="Arial" w:cs="Arial"/>
          <w:lang w:eastAsia="es-MX"/>
        </w:rPr>
        <w:footnoteReference w:id="72"/>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73"/>
      </w:r>
      <w:r>
        <w:rPr>
          <w:rFonts w:ascii="Arial" w:hAnsi="Arial" w:cs="Arial"/>
          <w:lang w:eastAsia="es-MX"/>
        </w:rPr>
        <w:t xml:space="preserve">. Este modelo es retomado por Querido </w:t>
      </w:r>
      <w:r w:rsidR="00EC2116">
        <w:rPr>
          <w:rFonts w:ascii="Arial" w:hAnsi="Arial" w:cs="Arial"/>
          <w:i/>
          <w:lang w:eastAsia="es-MX"/>
        </w:rPr>
        <w:t>et</w:t>
      </w:r>
      <w:r w:rsidRPr="000D6ACB">
        <w:rPr>
          <w:rFonts w:ascii="Arial" w:hAnsi="Arial" w:cs="Arial"/>
          <w:i/>
          <w:lang w:eastAsia="es-MX"/>
        </w:rPr>
        <w:t xml:space="preserve"> al.</w:t>
      </w:r>
      <w:r>
        <w:rPr>
          <w:rFonts w:ascii="Arial" w:hAnsi="Arial" w:cs="Arial"/>
          <w:lang w:eastAsia="es-MX"/>
        </w:rPr>
        <w:t xml:space="preserve">, quienes hacen énfasis en que el tipo de escuela es diferente en cada país; la Figura 1 resume dicho modelo y se configura al contexto de México, donde la educación médica se </w:t>
      </w:r>
      <w:r>
        <w:rPr>
          <w:rFonts w:ascii="Arial" w:hAnsi="Arial" w:cs="Arial"/>
          <w:lang w:eastAsia="es-MX"/>
        </w:rPr>
        <w:lastRenderedPageBreak/>
        <w:t>caracteriza por ingresas a la licenciatura una vez terminado los estudios de bachillerato, para después acceder a la especialidad médica.</w:t>
      </w:r>
    </w:p>
    <w:p w:rsidR="0002197D" w:rsidRPr="002C0B41" w:rsidRDefault="0002197D" w:rsidP="00C309BE">
      <w:pPr>
        <w:spacing w:after="0" w:line="240" w:lineRule="auto"/>
        <w:jc w:val="center"/>
        <w:rPr>
          <w:rFonts w:ascii="Arial" w:hAnsi="Arial" w:cs="Arial"/>
          <w:b/>
          <w:lang w:eastAsia="es-MX"/>
        </w:rPr>
      </w:pPr>
      <w:r w:rsidRPr="002C0B41">
        <w:rPr>
          <w:rFonts w:ascii="Arial" w:hAnsi="Arial" w:cs="Arial"/>
          <w:b/>
          <w:lang w:eastAsia="es-MX"/>
        </w:rPr>
        <w:t xml:space="preserve">Figura 1. Modelo de Bland-Meurer (modificaciones de Querido </w:t>
      </w:r>
      <w:r w:rsidR="00EC2116">
        <w:rPr>
          <w:rFonts w:ascii="Arial" w:hAnsi="Arial" w:cs="Arial"/>
          <w:b/>
          <w:i/>
          <w:lang w:eastAsia="es-MX"/>
        </w:rPr>
        <w:t>et</w:t>
      </w:r>
      <w:r w:rsidRPr="002C0B41">
        <w:rPr>
          <w:rFonts w:ascii="Arial" w:hAnsi="Arial" w:cs="Arial"/>
          <w:b/>
          <w:i/>
          <w:lang w:eastAsia="es-MX"/>
        </w:rPr>
        <w:t xml:space="preserve"> al.</w:t>
      </w:r>
      <w:r w:rsidRPr="002C0B41">
        <w:rPr>
          <w:rFonts w:ascii="Arial" w:hAnsi="Arial" w:cs="Arial"/>
          <w:b/>
          <w:lang w:eastAsia="es-MX"/>
        </w:rPr>
        <w:t>) sobe los factores relacionados con la elección de una especialidad.</w:t>
      </w:r>
    </w:p>
    <w:p w:rsidR="0002197D" w:rsidRDefault="0002197D" w:rsidP="0002197D">
      <w:pPr>
        <w:spacing w:after="0" w:line="360" w:lineRule="auto"/>
        <w:jc w:val="center"/>
        <w:rPr>
          <w:rFonts w:ascii="Arial" w:hAnsi="Arial" w:cs="Arial"/>
          <w:lang w:eastAsia="es-MX"/>
        </w:rPr>
      </w:pPr>
      <w:r>
        <w:rPr>
          <w:noProof/>
          <w:lang w:eastAsia="es-MX"/>
        </w:rPr>
        <w:drawing>
          <wp:inline distT="0" distB="0" distL="0" distR="0" wp14:anchorId="7975D9BF" wp14:editId="392F6D3F">
            <wp:extent cx="4457700" cy="5105400"/>
            <wp:effectExtent l="19050" t="19050" r="19050" b="190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457700" cy="5105400"/>
                    </a:xfrm>
                    <a:prstGeom prst="rect">
                      <a:avLst/>
                    </a:prstGeom>
                    <a:ln>
                      <a:solidFill>
                        <a:schemeClr val="tx1"/>
                      </a:solidFill>
                    </a:ln>
                  </pic:spPr>
                </pic:pic>
              </a:graphicData>
            </a:graphic>
          </wp:inline>
        </w:drawing>
      </w:r>
    </w:p>
    <w:p w:rsidR="0002197D" w:rsidRDefault="00804DD8" w:rsidP="0002197D">
      <w:pPr>
        <w:spacing w:after="0" w:line="360" w:lineRule="auto"/>
        <w:ind w:left="708" w:firstLine="708"/>
        <w:jc w:val="both"/>
        <w:rPr>
          <w:rFonts w:ascii="Arial" w:hAnsi="Arial" w:cs="Arial"/>
          <w:sz w:val="18"/>
          <w:lang w:eastAsia="es-MX"/>
        </w:rPr>
      </w:pPr>
      <w:r>
        <w:rPr>
          <w:rFonts w:ascii="Arial" w:hAnsi="Arial" w:cs="Arial"/>
          <w:b/>
          <w:sz w:val="18"/>
          <w:lang w:eastAsia="es-MX"/>
        </w:rPr>
        <w:t xml:space="preserve">                               </w:t>
      </w:r>
      <w:r w:rsidR="0002197D" w:rsidRPr="002C0B41">
        <w:rPr>
          <w:rFonts w:ascii="Arial" w:hAnsi="Arial" w:cs="Arial"/>
          <w:b/>
          <w:sz w:val="18"/>
          <w:lang w:eastAsia="es-MX"/>
        </w:rPr>
        <w:t>Fuente:</w:t>
      </w:r>
      <w:r w:rsidR="0002197D">
        <w:rPr>
          <w:rFonts w:ascii="Arial" w:hAnsi="Arial" w:cs="Arial"/>
          <w:sz w:val="18"/>
          <w:lang w:eastAsia="es-MX"/>
        </w:rPr>
        <w:t xml:space="preserve"> Gutiérrez </w:t>
      </w:r>
      <w:r w:rsidR="00EC2116">
        <w:rPr>
          <w:rFonts w:ascii="Arial" w:hAnsi="Arial" w:cs="Arial"/>
          <w:i/>
          <w:sz w:val="18"/>
          <w:lang w:eastAsia="es-MX"/>
        </w:rPr>
        <w:t>et</w:t>
      </w:r>
      <w:r w:rsidR="0002197D" w:rsidRPr="00DE354C">
        <w:rPr>
          <w:rFonts w:ascii="Arial" w:hAnsi="Arial" w:cs="Arial"/>
          <w:i/>
          <w:sz w:val="18"/>
          <w:lang w:eastAsia="es-MX"/>
        </w:rPr>
        <w:t xml:space="preserve"> al.</w:t>
      </w:r>
      <w:r w:rsidR="0002197D" w:rsidRPr="002C0B41">
        <w:rPr>
          <w:rFonts w:ascii="Arial" w:hAnsi="Arial" w:cs="Arial"/>
          <w:sz w:val="18"/>
          <w:lang w:eastAsia="es-MX"/>
        </w:rPr>
        <w:t xml:space="preserve"> (2017).</w:t>
      </w:r>
    </w:p>
    <w:p w:rsidR="0057550B" w:rsidRDefault="0057550B" w:rsidP="0057550B">
      <w:pPr>
        <w:spacing w:after="0" w:line="360" w:lineRule="auto"/>
        <w:ind w:firstLine="709"/>
        <w:jc w:val="both"/>
        <w:rPr>
          <w:rFonts w:ascii="Arial" w:hAnsi="Arial" w:cs="Arial"/>
          <w:lang w:eastAsia="es-MX"/>
        </w:rPr>
      </w:pPr>
    </w:p>
    <w:p w:rsidR="0002197D" w:rsidRDefault="0002197D" w:rsidP="0002197D">
      <w:pPr>
        <w:spacing w:line="360" w:lineRule="auto"/>
        <w:jc w:val="both"/>
        <w:rPr>
          <w:rFonts w:ascii="Arial" w:hAnsi="Arial" w:cs="Arial"/>
          <w:lang w:eastAsia="es-MX"/>
        </w:rPr>
      </w:pPr>
      <w:r>
        <w:rPr>
          <w:rFonts w:ascii="Arial" w:hAnsi="Arial" w:cs="Arial"/>
          <w:lang w:eastAsia="es-MX"/>
        </w:rPr>
        <w:t xml:space="preserve">En específico, respecto a las características de la escuela de medicina del modelo de Bland-Meurer (reformulado por Querido </w:t>
      </w:r>
      <w:r w:rsidR="00EC2116">
        <w:rPr>
          <w:rFonts w:ascii="Arial" w:hAnsi="Arial" w:cs="Arial"/>
          <w:i/>
          <w:lang w:eastAsia="es-MX"/>
        </w:rPr>
        <w:t>et</w:t>
      </w:r>
      <w:r w:rsidRPr="00A467B9">
        <w:rPr>
          <w:rFonts w:ascii="Arial" w:hAnsi="Arial" w:cs="Arial"/>
          <w:i/>
          <w:lang w:eastAsia="es-MX"/>
        </w:rPr>
        <w:t xml:space="preserve"> al.</w:t>
      </w:r>
      <w:r>
        <w:rPr>
          <w:rFonts w:ascii="Arial" w:hAnsi="Arial" w:cs="Arial"/>
          <w:lang w:eastAsia="es-MX"/>
        </w:rPr>
        <w:t xml:space="preserve">), Gutiérrez </w:t>
      </w:r>
      <w:r w:rsidR="00EC2116">
        <w:rPr>
          <w:rFonts w:ascii="Arial" w:hAnsi="Arial" w:cs="Arial"/>
          <w:i/>
          <w:lang w:eastAsia="es-MX"/>
        </w:rPr>
        <w:t>et</w:t>
      </w:r>
      <w:r w:rsidRPr="00DE354C">
        <w:rPr>
          <w:rFonts w:ascii="Arial" w:hAnsi="Arial" w:cs="Arial"/>
          <w:i/>
          <w:lang w:eastAsia="es-MX"/>
        </w:rPr>
        <w:t xml:space="preserve"> al.</w:t>
      </w:r>
      <w:r>
        <w:rPr>
          <w:rFonts w:ascii="Arial" w:hAnsi="Arial" w:cs="Arial"/>
          <w:lang w:eastAsia="es-MX"/>
        </w:rPr>
        <w:t xml:space="preserve"> mencionan:</w:t>
      </w:r>
    </w:p>
    <w:p w:rsidR="0002197D" w:rsidRPr="00A467B9" w:rsidRDefault="0002197D" w:rsidP="0002197D">
      <w:pPr>
        <w:spacing w:line="360" w:lineRule="auto"/>
        <w:ind w:left="708"/>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w:t>
      </w:r>
      <w:r w:rsidRPr="00A467B9">
        <w:rPr>
          <w:rFonts w:ascii="Arial" w:hAnsi="Arial" w:cs="Arial"/>
          <w:i/>
          <w:sz w:val="20"/>
          <w:lang w:eastAsia="es-MX"/>
        </w:rPr>
        <w:lastRenderedPageBreak/>
        <w:t xml:space="preserve">(definida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02197D" w:rsidRDefault="0002197D" w:rsidP="0002197D">
      <w:pPr>
        <w:spacing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02197D" w:rsidRPr="006D6345" w:rsidRDefault="0002197D" w:rsidP="0002197D">
      <w:pPr>
        <w:spacing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02197D" w:rsidRDefault="0002197D" w:rsidP="0002197D">
      <w:pPr>
        <w:spacing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sidRPr="00446278">
        <w:rPr>
          <w:rFonts w:ascii="Arial" w:hAnsi="Arial" w:cs="Arial"/>
          <w:lang w:eastAsia="es-MX"/>
        </w:rPr>
        <w:t>Medicina del Enfermo en Estado Crítico</w:t>
      </w:r>
      <w:r>
        <w:rPr>
          <w:rFonts w:ascii="Arial" w:hAnsi="Arial" w:cs="Arial"/>
          <w:lang w:eastAsia="es-MX"/>
        </w:rPr>
        <w:t xml:space="preserve"> </w:t>
      </w:r>
      <w:r w:rsidRPr="001C312A">
        <w:rPr>
          <w:rFonts w:ascii="Arial" w:hAnsi="Arial" w:cs="Arial"/>
          <w:lang w:eastAsia="es-MX"/>
        </w:rPr>
        <w:t>que oferta la Universidad la Salle</w:t>
      </w:r>
      <w:r>
        <w:rPr>
          <w:rFonts w:ascii="Arial" w:hAnsi="Arial" w:cs="Arial"/>
          <w:lang w:eastAsia="es-MX"/>
        </w:rPr>
        <w:t xml:space="preserv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596679">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02197D" w:rsidRDefault="0002197D" w:rsidP="0002197D">
      <w:pPr>
        <w:spacing w:line="360" w:lineRule="auto"/>
        <w:jc w:val="center"/>
        <w:rPr>
          <w:rFonts w:ascii="Arial" w:hAnsi="Arial" w:cs="Arial"/>
          <w:b/>
          <w:lang w:eastAsia="es-MX"/>
        </w:rPr>
      </w:pPr>
    </w:p>
    <w:p w:rsidR="0057550B" w:rsidRDefault="0057550B" w:rsidP="0002197D">
      <w:pPr>
        <w:spacing w:after="0" w:line="360" w:lineRule="auto"/>
        <w:jc w:val="center"/>
        <w:rPr>
          <w:rFonts w:ascii="Arial" w:hAnsi="Arial" w:cs="Arial"/>
          <w:b/>
          <w:lang w:eastAsia="es-MX"/>
        </w:rPr>
      </w:pPr>
    </w:p>
    <w:p w:rsidR="0057550B" w:rsidRDefault="0057550B" w:rsidP="0002197D">
      <w:pPr>
        <w:spacing w:after="0" w:line="360" w:lineRule="auto"/>
        <w:jc w:val="center"/>
        <w:rPr>
          <w:rFonts w:ascii="Arial" w:hAnsi="Arial" w:cs="Arial"/>
          <w:b/>
          <w:lang w:eastAsia="es-MX"/>
        </w:rPr>
      </w:pPr>
    </w:p>
    <w:p w:rsidR="0057550B" w:rsidRDefault="0057550B" w:rsidP="0002197D">
      <w:pPr>
        <w:spacing w:after="0" w:line="360" w:lineRule="auto"/>
        <w:jc w:val="center"/>
        <w:rPr>
          <w:rFonts w:ascii="Arial" w:hAnsi="Arial" w:cs="Arial"/>
          <w:b/>
          <w:lang w:eastAsia="es-MX"/>
        </w:rPr>
      </w:pPr>
    </w:p>
    <w:p w:rsidR="0057550B" w:rsidRDefault="0057550B" w:rsidP="0002197D">
      <w:pPr>
        <w:spacing w:after="0" w:line="360" w:lineRule="auto"/>
        <w:jc w:val="center"/>
        <w:rPr>
          <w:rFonts w:ascii="Arial" w:hAnsi="Arial" w:cs="Arial"/>
          <w:b/>
          <w:lang w:eastAsia="es-MX"/>
        </w:rPr>
      </w:pPr>
    </w:p>
    <w:p w:rsidR="0057550B" w:rsidRDefault="0057550B" w:rsidP="0002197D">
      <w:pPr>
        <w:spacing w:after="0" w:line="360" w:lineRule="auto"/>
        <w:jc w:val="center"/>
        <w:rPr>
          <w:rFonts w:ascii="Arial" w:hAnsi="Arial" w:cs="Arial"/>
          <w:b/>
          <w:lang w:eastAsia="es-MX"/>
        </w:rPr>
      </w:pPr>
    </w:p>
    <w:p w:rsidR="0002197D" w:rsidRPr="004A29D9" w:rsidRDefault="00FC4954" w:rsidP="0002197D">
      <w:pPr>
        <w:spacing w:after="0" w:line="360" w:lineRule="auto"/>
        <w:jc w:val="center"/>
        <w:rPr>
          <w:rFonts w:ascii="Arial" w:hAnsi="Arial" w:cs="Arial"/>
          <w:b/>
          <w:lang w:eastAsia="es-MX"/>
        </w:rPr>
      </w:pPr>
      <w:r>
        <w:rPr>
          <w:rFonts w:ascii="Arial" w:hAnsi="Arial" w:cs="Arial"/>
          <w:b/>
          <w:lang w:eastAsia="es-MX"/>
        </w:rPr>
        <w:lastRenderedPageBreak/>
        <w:t>Gráfica 6</w:t>
      </w:r>
      <w:r w:rsidR="0002197D" w:rsidRPr="004A29D9">
        <w:rPr>
          <w:rFonts w:ascii="Arial" w:hAnsi="Arial" w:cs="Arial"/>
          <w:b/>
          <w:lang w:eastAsia="es-MX"/>
        </w:rPr>
        <w:t>. Tasa de médicos graduados en diversos países de la OCDE, 2016 (o años más reciente).</w:t>
      </w:r>
    </w:p>
    <w:p w:rsidR="0002197D" w:rsidRDefault="0002197D" w:rsidP="0002197D">
      <w:pPr>
        <w:spacing w:after="0" w:line="360" w:lineRule="auto"/>
        <w:jc w:val="center"/>
        <w:rPr>
          <w:rFonts w:ascii="Arial" w:hAnsi="Arial" w:cs="Arial"/>
          <w:lang w:eastAsia="es-MX"/>
        </w:rPr>
      </w:pPr>
      <w:r>
        <w:rPr>
          <w:noProof/>
          <w:lang w:eastAsia="es-MX"/>
        </w:rPr>
        <w:drawing>
          <wp:inline distT="0" distB="0" distL="0" distR="0" wp14:anchorId="6B7EE346" wp14:editId="7DE1E904">
            <wp:extent cx="5172076" cy="2995614"/>
            <wp:effectExtent l="0" t="0" r="9525" b="14605"/>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2197D" w:rsidRPr="00075890" w:rsidRDefault="0002197D" w:rsidP="0002197D">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57550B" w:rsidRDefault="0057550B" w:rsidP="0057550B">
      <w:pPr>
        <w:spacing w:after="0" w:line="360" w:lineRule="auto"/>
        <w:jc w:val="both"/>
        <w:rPr>
          <w:rFonts w:ascii="Arial" w:hAnsi="Arial" w:cs="Arial"/>
          <w:lang w:eastAsia="es-MX"/>
        </w:rPr>
      </w:pPr>
    </w:p>
    <w:p w:rsidR="0002197D" w:rsidRDefault="0002197D" w:rsidP="0002197D">
      <w:pPr>
        <w:spacing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74"/>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75"/>
      </w:r>
      <w:r>
        <w:rPr>
          <w:rFonts w:ascii="Arial" w:hAnsi="Arial" w:cs="Arial"/>
          <w:lang w:eastAsia="es-MX"/>
        </w:rPr>
        <w:t xml:space="preserve">. Entonces, </w:t>
      </w:r>
      <w:r w:rsidR="00FC4954">
        <w:rPr>
          <w:rFonts w:ascii="Arial" w:hAnsi="Arial" w:cs="Arial"/>
          <w:lang w:eastAsia="es-MX"/>
        </w:rPr>
        <w:t>la demanda</w:t>
      </w:r>
      <w:r w:rsidRPr="0045180E">
        <w:rPr>
          <w:rFonts w:ascii="Arial" w:hAnsi="Arial" w:cs="Arial"/>
          <w:lang w:eastAsia="es-MX"/>
        </w:rPr>
        <w:t xml:space="preserve">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y son especialistas en Pediatría. Específicamente, para el año 2018, hubo 40,081 sustentantes del ENARM, mientras que la oferta fue de 8,821 plazas ofertadas en total. La Gráfica 2 muestra la evolución de los sustentantes en el período 2010-2018; en estos años se muestra una clara tendencia </w:t>
      </w:r>
      <w:r w:rsidR="00FC4954">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w:t>
      </w:r>
      <w:r>
        <w:rPr>
          <w:rFonts w:ascii="Arial" w:hAnsi="Arial" w:cs="Arial"/>
          <w:lang w:eastAsia="es-MX"/>
        </w:rPr>
        <w:lastRenderedPageBreak/>
        <w:t xml:space="preserve">2019, se proyecta que haya 41.5 mil aspirantes a especialidades médicas (38.9-44.2 para un IP de 95%). Para 2024, el pronóstico indica </w:t>
      </w:r>
      <w:r w:rsidR="0015457B">
        <w:rPr>
          <w:rFonts w:ascii="Arial" w:hAnsi="Arial" w:cs="Arial"/>
          <w:lang w:eastAsia="es-MX"/>
        </w:rPr>
        <w:t>que,</w:t>
      </w:r>
      <w:r>
        <w:rPr>
          <w:rFonts w:ascii="Arial" w:hAnsi="Arial" w:cs="Arial"/>
          <w:lang w:eastAsia="es-MX"/>
        </w:rPr>
        <w:t xml:space="preserve"> de seguir la tendencia </w:t>
      </w:r>
      <w:r w:rsidR="00FC4954">
        <w:rPr>
          <w:rFonts w:ascii="Arial" w:hAnsi="Arial" w:cs="Arial"/>
          <w:lang w:eastAsia="es-MX"/>
        </w:rPr>
        <w:t>al alza</w:t>
      </w:r>
      <w:r>
        <w:rPr>
          <w:rFonts w:ascii="Arial" w:hAnsi="Arial" w:cs="Arial"/>
          <w:lang w:eastAsia="es-MX"/>
        </w:rPr>
        <w:t>, la demanda de médicos por las especialidades puede ser 53.4 sustentantes (50.7-56.1 IP 95%).</w:t>
      </w:r>
    </w:p>
    <w:p w:rsidR="0002197D" w:rsidRPr="00914CC9" w:rsidRDefault="0002197D" w:rsidP="0002197D">
      <w:pPr>
        <w:spacing w:line="360" w:lineRule="auto"/>
        <w:jc w:val="center"/>
        <w:rPr>
          <w:rFonts w:ascii="Arial" w:hAnsi="Arial" w:cs="Arial"/>
          <w:b/>
          <w:lang w:eastAsia="es-MX"/>
        </w:rPr>
      </w:pPr>
      <w:r w:rsidRPr="00914CC9">
        <w:rPr>
          <w:rFonts w:ascii="Arial" w:hAnsi="Arial" w:cs="Arial"/>
          <w:b/>
          <w:lang w:eastAsia="es-MX"/>
        </w:rPr>
        <w:t>Gráfica</w:t>
      </w:r>
      <w:r w:rsidR="0015457B">
        <w:rPr>
          <w:rFonts w:ascii="Arial" w:hAnsi="Arial" w:cs="Arial"/>
          <w:b/>
          <w:lang w:eastAsia="es-MX"/>
        </w:rPr>
        <w:t xml:space="preserve"> 7</w:t>
      </w:r>
      <w:r w:rsidRPr="00914CC9">
        <w:rPr>
          <w:rFonts w:ascii="Arial" w:hAnsi="Arial" w:cs="Arial"/>
          <w:b/>
          <w:lang w:eastAsia="es-MX"/>
        </w:rPr>
        <w:t>. Evolución y pronósticos de sustentantes del ENARM, 2010-2014.</w:t>
      </w:r>
    </w:p>
    <w:p w:rsidR="0002197D" w:rsidRDefault="0002197D" w:rsidP="0002197D">
      <w:pPr>
        <w:spacing w:after="0" w:line="360" w:lineRule="auto"/>
        <w:jc w:val="center"/>
        <w:rPr>
          <w:rFonts w:ascii="Arial" w:hAnsi="Arial" w:cs="Arial"/>
          <w:lang w:eastAsia="es-MX"/>
        </w:rPr>
      </w:pPr>
      <w:r>
        <w:rPr>
          <w:noProof/>
          <w:lang w:eastAsia="es-MX"/>
        </w:rPr>
        <w:drawing>
          <wp:inline distT="0" distB="0" distL="0" distR="0" wp14:anchorId="5EB53091" wp14:editId="68151D17">
            <wp:extent cx="5005388" cy="2852738"/>
            <wp:effectExtent l="0" t="0" r="5080" b="5080"/>
            <wp:docPr id="8" name="Gráfico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02197D" w:rsidRPr="00AA53EE" w:rsidRDefault="0002197D" w:rsidP="0002197D">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02197D" w:rsidRDefault="0002197D" w:rsidP="0002197D">
      <w:pPr>
        <w:spacing w:line="360" w:lineRule="auto"/>
        <w:jc w:val="both"/>
        <w:rPr>
          <w:rFonts w:ascii="Arial" w:hAnsi="Arial" w:cs="Arial"/>
          <w:lang w:eastAsia="es-MX"/>
        </w:rPr>
      </w:pPr>
    </w:p>
    <w:p w:rsidR="0002197D" w:rsidRDefault="0002197D" w:rsidP="0002197D">
      <w:pPr>
        <w:spacing w:line="360" w:lineRule="auto"/>
        <w:jc w:val="both"/>
        <w:rPr>
          <w:rFonts w:ascii="Arial" w:hAnsi="Arial" w:cs="Arial"/>
          <w:lang w:eastAsia="es-MX"/>
        </w:rPr>
      </w:pPr>
      <w:r>
        <w:rPr>
          <w:rFonts w:ascii="Arial" w:hAnsi="Arial" w:cs="Arial"/>
          <w:lang w:eastAsia="es-MX"/>
        </w:rPr>
        <w:t xml:space="preserve">Específicamente para la especialidad de </w:t>
      </w:r>
      <w:r w:rsidRPr="00446278">
        <w:rPr>
          <w:rFonts w:ascii="Arial" w:hAnsi="Arial" w:cs="Arial"/>
          <w:lang w:eastAsia="es-MX"/>
        </w:rPr>
        <w:t>Medicina del Enfermo en Estado Crítico</w:t>
      </w:r>
      <w:r>
        <w:rPr>
          <w:rFonts w:ascii="Arial" w:hAnsi="Arial" w:cs="Arial"/>
          <w:lang w:eastAsia="es-MX"/>
        </w:rPr>
        <w:t xml:space="preserve">, las estadísticas no están disponibles en el portal web de </w:t>
      </w:r>
      <w:r w:rsidRPr="004B3C09">
        <w:rPr>
          <w:rFonts w:ascii="Arial" w:hAnsi="Arial" w:cs="Arial"/>
          <w:lang w:eastAsia="es-MX"/>
        </w:rPr>
        <w:t>CIFRHS</w:t>
      </w:r>
      <w:r>
        <w:rPr>
          <w:rFonts w:ascii="Arial" w:hAnsi="Arial" w:cs="Arial"/>
          <w:lang w:eastAsia="es-MX"/>
        </w:rPr>
        <w:t>, debido a la lógica del mismo programa. Al respecto, la entrada del programa puede ser por las especialidades de Medicina Interna o Anestesiología (2 años), o bien, por la especialidad en Cirugía General (totalidad del programa)</w:t>
      </w:r>
      <w:r w:rsidR="00865205">
        <w:rPr>
          <w:rFonts w:ascii="Arial" w:hAnsi="Arial" w:cs="Arial"/>
          <w:lang w:eastAsia="es-MX"/>
        </w:rPr>
        <w:t xml:space="preserve"> y por urgencias médicas</w:t>
      </w:r>
      <w:r>
        <w:rPr>
          <w:rFonts w:ascii="Arial" w:hAnsi="Arial" w:cs="Arial"/>
          <w:lang w:eastAsia="es-MX"/>
        </w:rPr>
        <w:t xml:space="preserve">. Por lo tanto, se generalizan las estadísticas de los sustentantes a dichas especialidades, con el objetivo de tener un acercamiento a una demanda potencial por la especialidad de </w:t>
      </w:r>
      <w:r w:rsidRPr="00446278">
        <w:rPr>
          <w:rFonts w:ascii="Arial" w:hAnsi="Arial" w:cs="Arial"/>
          <w:lang w:eastAsia="es-MX"/>
        </w:rPr>
        <w:t>Medicina del Enfermo en Estado Crítico</w:t>
      </w:r>
      <w:r>
        <w:rPr>
          <w:rFonts w:ascii="Arial" w:hAnsi="Arial" w:cs="Arial"/>
          <w:lang w:eastAsia="es-MX"/>
        </w:rPr>
        <w:t xml:space="preserve">. En resumen, para 2018, se ofertaron 943 lugares para Anestesiología, 809 para Cirugía y otros 1,186 para Medicina Interna, en total 2,938 lugares que representan una demanda potencial para la especialidad analizada. En el período 2012-2018 se observa un incremento a través del tiempo de los lugares ofertados de estas tres especialidades, en promedio, los lugares ofertados tienen una tasa anual de crecimiento de 4.5%. No obstante, estos incrementos, generalmente, son aumentos inmediatos con el fin remediar carencias en ciertas áreas.  </w:t>
      </w:r>
    </w:p>
    <w:p w:rsidR="0002197D" w:rsidRPr="000E4FBB" w:rsidRDefault="0002197D" w:rsidP="0015457B">
      <w:pPr>
        <w:spacing w:after="0" w:line="240" w:lineRule="auto"/>
        <w:jc w:val="center"/>
        <w:rPr>
          <w:rFonts w:ascii="Arial" w:hAnsi="Arial" w:cs="Arial"/>
          <w:b/>
          <w:lang w:eastAsia="es-MX"/>
        </w:rPr>
      </w:pPr>
      <w:r w:rsidRPr="000E4FBB">
        <w:rPr>
          <w:rFonts w:ascii="Arial" w:hAnsi="Arial" w:cs="Arial"/>
          <w:b/>
          <w:lang w:eastAsia="es-MX"/>
        </w:rPr>
        <w:lastRenderedPageBreak/>
        <w:t>Gráfica</w:t>
      </w:r>
      <w:r w:rsidR="0015457B">
        <w:rPr>
          <w:rFonts w:ascii="Arial" w:hAnsi="Arial" w:cs="Arial"/>
          <w:b/>
          <w:lang w:eastAsia="es-MX"/>
        </w:rPr>
        <w:t xml:space="preserve"> 8</w:t>
      </w:r>
      <w:r w:rsidRPr="000E4FBB">
        <w:rPr>
          <w:rFonts w:ascii="Arial" w:hAnsi="Arial" w:cs="Arial"/>
          <w:b/>
          <w:lang w:eastAsia="es-MX"/>
        </w:rPr>
        <w:t xml:space="preserve">. Lugares ofertados en </w:t>
      </w:r>
      <w:r w:rsidR="00B779A4" w:rsidRPr="000E4FBB">
        <w:rPr>
          <w:rFonts w:ascii="Arial" w:hAnsi="Arial" w:cs="Arial"/>
          <w:b/>
          <w:lang w:eastAsia="es-MX"/>
        </w:rPr>
        <w:t>las especialidades</w:t>
      </w:r>
      <w:r>
        <w:rPr>
          <w:rFonts w:ascii="Arial" w:hAnsi="Arial" w:cs="Arial"/>
          <w:b/>
          <w:lang w:eastAsia="es-MX"/>
        </w:rPr>
        <w:t xml:space="preserve"> Anestesiología, Medicina Interna</w:t>
      </w:r>
      <w:r w:rsidR="00865205">
        <w:rPr>
          <w:rFonts w:ascii="Arial" w:hAnsi="Arial" w:cs="Arial"/>
          <w:b/>
          <w:lang w:eastAsia="es-MX"/>
        </w:rPr>
        <w:t>,</w:t>
      </w:r>
      <w:r>
        <w:rPr>
          <w:rFonts w:ascii="Arial" w:hAnsi="Arial" w:cs="Arial"/>
          <w:b/>
          <w:lang w:eastAsia="es-MX"/>
        </w:rPr>
        <w:t xml:space="preserve"> Cirugía general</w:t>
      </w:r>
      <w:r w:rsidR="00554148">
        <w:rPr>
          <w:rFonts w:ascii="Arial" w:hAnsi="Arial" w:cs="Arial"/>
          <w:b/>
          <w:lang w:eastAsia="es-MX"/>
        </w:rPr>
        <w:t xml:space="preserve"> y Urgencias </w:t>
      </w:r>
      <w:r w:rsidR="008B2C56">
        <w:rPr>
          <w:rFonts w:ascii="Arial" w:hAnsi="Arial" w:cs="Arial"/>
          <w:b/>
          <w:lang w:eastAsia="es-MX"/>
        </w:rPr>
        <w:t>Médicas</w:t>
      </w:r>
      <w:r w:rsidRPr="000E4FBB">
        <w:rPr>
          <w:rFonts w:ascii="Arial" w:hAnsi="Arial" w:cs="Arial"/>
          <w:b/>
          <w:lang w:eastAsia="es-MX"/>
        </w:rPr>
        <w:t xml:space="preserve"> en las convocatorias del ENARM, 2012-2018.</w:t>
      </w:r>
    </w:p>
    <w:p w:rsidR="0002197D" w:rsidRDefault="0002197D" w:rsidP="0002197D">
      <w:pPr>
        <w:spacing w:after="0" w:line="360" w:lineRule="auto"/>
        <w:jc w:val="center"/>
        <w:rPr>
          <w:rFonts w:ascii="Arial" w:hAnsi="Arial" w:cs="Arial"/>
          <w:lang w:eastAsia="es-MX"/>
        </w:rPr>
      </w:pPr>
      <w:r>
        <w:rPr>
          <w:noProof/>
          <w:lang w:eastAsia="es-MX"/>
        </w:rPr>
        <w:drawing>
          <wp:inline distT="0" distB="0" distL="0" distR="0" wp14:anchorId="0D09E336" wp14:editId="4F5E38A7">
            <wp:extent cx="4572000" cy="2743200"/>
            <wp:effectExtent l="0" t="0" r="0" b="0"/>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2197D" w:rsidRPr="00075890" w:rsidRDefault="0002197D" w:rsidP="0002197D">
      <w:pPr>
        <w:spacing w:after="0" w:line="36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los CIFRHS (2012-2018).</w:t>
      </w:r>
    </w:p>
    <w:p w:rsidR="0057550B" w:rsidRDefault="0057550B" w:rsidP="0057550B">
      <w:pPr>
        <w:spacing w:after="0" w:line="360" w:lineRule="auto"/>
        <w:jc w:val="both"/>
        <w:rPr>
          <w:rFonts w:ascii="Arial" w:hAnsi="Arial" w:cs="Arial"/>
          <w:lang w:eastAsia="es-MX"/>
        </w:rPr>
      </w:pPr>
    </w:p>
    <w:p w:rsidR="0002197D" w:rsidRDefault="0002197D" w:rsidP="0002197D">
      <w:pPr>
        <w:spacing w:line="360" w:lineRule="auto"/>
        <w:jc w:val="both"/>
        <w:rPr>
          <w:rFonts w:ascii="Arial" w:hAnsi="Arial" w:cs="Arial"/>
          <w:lang w:eastAsia="es-MX"/>
        </w:rPr>
      </w:pPr>
      <w:r>
        <w:rPr>
          <w:rFonts w:ascii="Arial" w:hAnsi="Arial" w:cs="Arial"/>
          <w:lang w:eastAsia="es-MX"/>
        </w:rPr>
        <w:t xml:space="preserve">Por otro lado, se construyó la serie de primer ingreso a la especialidad en </w:t>
      </w:r>
      <w:r w:rsidRPr="00446278">
        <w:rPr>
          <w:rFonts w:ascii="Arial" w:hAnsi="Arial" w:cs="Arial"/>
          <w:lang w:eastAsia="es-MX"/>
        </w:rPr>
        <w:t>Medicina del Enfermo en Estado Crítico</w:t>
      </w:r>
      <w:r>
        <w:rPr>
          <w:rFonts w:ascii="Arial" w:hAnsi="Arial" w:cs="Arial"/>
          <w:lang w:eastAsia="es-MX"/>
        </w:rPr>
        <w:t xml:space="preserve"> con estadísticas propias de la Universidad La Salle en el período 2012-2018; esta variable puede representar una cota mínima de la demanda de la especialidad. Al respecto, se observa un proceso estable en el comportamiento de la variable, en otras palabras, el primer ingreso, o bien, la cota mínima de demanda anual varía alrededor de 5 estudiantes por año. No obstante, los lugares ofertados para las especialidades “</w:t>
      </w:r>
      <w:r w:rsidRPr="00594786">
        <w:rPr>
          <w:rFonts w:ascii="Arial" w:hAnsi="Arial" w:cs="Arial"/>
          <w:i/>
          <w:lang w:eastAsia="es-MX"/>
        </w:rPr>
        <w:t>no obedecen a una proyección prospectiva y organizada, sino más bien a tendencias inerciales o a carencias en ciertas áreas que se pretenden remediar con aumentos inmediatos en el número de ellas</w:t>
      </w:r>
      <w:r>
        <w:rPr>
          <w:rFonts w:ascii="Arial" w:hAnsi="Arial" w:cs="Arial"/>
          <w:i/>
          <w:lang w:eastAsia="es-MX"/>
        </w:rPr>
        <w:t>” (p. XIV)</w:t>
      </w:r>
      <w:r>
        <w:rPr>
          <w:rStyle w:val="Refdenotaalpie"/>
          <w:rFonts w:ascii="Arial" w:hAnsi="Arial" w:cs="Arial"/>
          <w:lang w:eastAsia="es-MX"/>
        </w:rPr>
        <w:footnoteReference w:id="76"/>
      </w:r>
      <w:r>
        <w:rPr>
          <w:rFonts w:ascii="Arial" w:hAnsi="Arial" w:cs="Arial"/>
          <w:i/>
          <w:lang w:eastAsia="es-MX"/>
        </w:rPr>
        <w:t>.</w:t>
      </w:r>
    </w:p>
    <w:p w:rsidR="00826DDB" w:rsidRDefault="00826DDB" w:rsidP="0002197D">
      <w:pPr>
        <w:spacing w:line="360" w:lineRule="auto"/>
        <w:jc w:val="center"/>
        <w:rPr>
          <w:rFonts w:ascii="Arial" w:hAnsi="Arial" w:cs="Arial"/>
          <w:b/>
          <w:lang w:eastAsia="es-MX"/>
        </w:rPr>
      </w:pPr>
    </w:p>
    <w:p w:rsidR="0057550B" w:rsidRDefault="0057550B" w:rsidP="0002197D">
      <w:pPr>
        <w:spacing w:line="360" w:lineRule="auto"/>
        <w:jc w:val="center"/>
        <w:rPr>
          <w:rFonts w:ascii="Arial" w:hAnsi="Arial" w:cs="Arial"/>
          <w:b/>
          <w:lang w:eastAsia="es-MX"/>
        </w:rPr>
      </w:pPr>
    </w:p>
    <w:p w:rsidR="00826DDB" w:rsidRDefault="00826DDB" w:rsidP="0002197D">
      <w:pPr>
        <w:spacing w:line="360" w:lineRule="auto"/>
        <w:jc w:val="center"/>
        <w:rPr>
          <w:rFonts w:ascii="Arial" w:hAnsi="Arial" w:cs="Arial"/>
          <w:b/>
          <w:lang w:eastAsia="es-MX"/>
        </w:rPr>
      </w:pPr>
    </w:p>
    <w:p w:rsidR="00826DDB" w:rsidRDefault="00826DDB" w:rsidP="0002197D">
      <w:pPr>
        <w:spacing w:line="360" w:lineRule="auto"/>
        <w:jc w:val="center"/>
        <w:rPr>
          <w:rFonts w:ascii="Arial" w:hAnsi="Arial" w:cs="Arial"/>
          <w:b/>
          <w:lang w:eastAsia="es-MX"/>
        </w:rPr>
      </w:pPr>
    </w:p>
    <w:p w:rsidR="0002197D" w:rsidRPr="000E4FBB" w:rsidRDefault="0002197D" w:rsidP="0002197D">
      <w:pPr>
        <w:spacing w:line="360" w:lineRule="auto"/>
        <w:jc w:val="center"/>
        <w:rPr>
          <w:rFonts w:ascii="Arial" w:hAnsi="Arial" w:cs="Arial"/>
          <w:b/>
          <w:lang w:eastAsia="es-MX"/>
        </w:rPr>
      </w:pPr>
      <w:r w:rsidRPr="000E4FBB">
        <w:rPr>
          <w:rFonts w:ascii="Arial" w:hAnsi="Arial" w:cs="Arial"/>
          <w:b/>
          <w:lang w:eastAsia="es-MX"/>
        </w:rPr>
        <w:lastRenderedPageBreak/>
        <w:t>Gráfica</w:t>
      </w:r>
      <w:r w:rsidR="0015457B">
        <w:rPr>
          <w:rFonts w:ascii="Arial" w:hAnsi="Arial" w:cs="Arial"/>
          <w:b/>
          <w:lang w:eastAsia="es-MX"/>
        </w:rPr>
        <w:t xml:space="preserve"> 9</w:t>
      </w:r>
      <w:r w:rsidRPr="000E4FBB">
        <w:rPr>
          <w:rFonts w:ascii="Arial" w:hAnsi="Arial" w:cs="Arial"/>
          <w:b/>
          <w:lang w:eastAsia="es-MX"/>
        </w:rPr>
        <w:t xml:space="preserve">. </w:t>
      </w:r>
      <w:r>
        <w:rPr>
          <w:rFonts w:ascii="Arial" w:hAnsi="Arial" w:cs="Arial"/>
          <w:b/>
          <w:lang w:eastAsia="es-MX"/>
        </w:rPr>
        <w:t xml:space="preserve">Matrícula de Primer Ingreso </w:t>
      </w:r>
      <w:r w:rsidRPr="000E4FBB">
        <w:rPr>
          <w:rFonts w:ascii="Arial" w:hAnsi="Arial" w:cs="Arial"/>
          <w:b/>
          <w:lang w:eastAsia="es-MX"/>
        </w:rPr>
        <w:t xml:space="preserve">en la especialidad de </w:t>
      </w:r>
      <w:r w:rsidRPr="00F1468B">
        <w:rPr>
          <w:rFonts w:ascii="Arial" w:hAnsi="Arial" w:cs="Arial"/>
          <w:b/>
          <w:lang w:eastAsia="es-MX"/>
        </w:rPr>
        <w:t>Medicina del Enfermo en Estado Crítico</w:t>
      </w:r>
      <w:r>
        <w:rPr>
          <w:rFonts w:ascii="Arial" w:hAnsi="Arial" w:cs="Arial"/>
          <w:b/>
          <w:lang w:eastAsia="es-MX"/>
        </w:rPr>
        <w:t xml:space="preserve"> de la Universidad La Salle</w:t>
      </w:r>
      <w:r w:rsidRPr="000E4FBB">
        <w:rPr>
          <w:rFonts w:ascii="Arial" w:hAnsi="Arial" w:cs="Arial"/>
          <w:b/>
          <w:lang w:eastAsia="es-MX"/>
        </w:rPr>
        <w:t>, 2012-2018.</w:t>
      </w:r>
    </w:p>
    <w:p w:rsidR="0002197D" w:rsidRDefault="0002197D" w:rsidP="0002197D">
      <w:pPr>
        <w:spacing w:after="0" w:line="360" w:lineRule="auto"/>
        <w:jc w:val="center"/>
        <w:rPr>
          <w:rFonts w:ascii="Arial" w:hAnsi="Arial" w:cs="Arial"/>
          <w:lang w:eastAsia="es-MX"/>
        </w:rPr>
      </w:pPr>
      <w:r>
        <w:rPr>
          <w:noProof/>
          <w:lang w:eastAsia="es-MX"/>
        </w:rPr>
        <w:drawing>
          <wp:inline distT="0" distB="0" distL="0" distR="0" wp14:anchorId="6CB034AF" wp14:editId="3EE20B7F">
            <wp:extent cx="4572000" cy="2743200"/>
            <wp:effectExtent l="0" t="0" r="0" b="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Pr>
          <w:noProof/>
          <w:lang w:eastAsia="es-MX"/>
        </w:rPr>
        <w:t xml:space="preserve"> </w:t>
      </w:r>
    </w:p>
    <w:p w:rsidR="0002197D" w:rsidRDefault="0002197D" w:rsidP="0002197D">
      <w:pPr>
        <w:spacing w:after="0" w:line="360" w:lineRule="auto"/>
        <w:jc w:val="center"/>
        <w:rPr>
          <w:rFonts w:ascii="Arial" w:hAnsi="Arial" w:cs="Arial"/>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r>
        <w:rPr>
          <w:rFonts w:ascii="Arial" w:hAnsi="Arial" w:cs="Arial"/>
          <w:sz w:val="18"/>
          <w:lang w:eastAsia="es-MX"/>
        </w:rPr>
        <w:t>estadísticas de la Universidad La Salle (s.f.).</w:t>
      </w:r>
    </w:p>
    <w:p w:rsidR="0002197D" w:rsidRDefault="0002197D" w:rsidP="0002197D">
      <w:pPr>
        <w:spacing w:line="360" w:lineRule="auto"/>
        <w:jc w:val="both"/>
        <w:rPr>
          <w:rFonts w:ascii="Arial" w:hAnsi="Arial" w:cs="Arial"/>
          <w:lang w:eastAsia="es-MX"/>
        </w:rPr>
      </w:pPr>
    </w:p>
    <w:p w:rsidR="0002197D" w:rsidRDefault="0002197D" w:rsidP="0002197D">
      <w:pPr>
        <w:spacing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77"/>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78"/>
      </w:r>
      <w:r>
        <w:rPr>
          <w:rFonts w:ascii="Arial" w:hAnsi="Arial" w:cs="Arial"/>
          <w:lang w:eastAsia="es-MX"/>
        </w:rPr>
        <w:t>. La demanda–y la oferta– de las especialidades médicas deberán de vincular tanto una demanda social por la educación de calidad, como las necesidades de salud (perfil epidemiológico, modelo de atención, etcétera) y el perfil demográfico del país.</w:t>
      </w:r>
    </w:p>
    <w:p w:rsidR="00893CC1" w:rsidRDefault="00893CC1" w:rsidP="007A3C36">
      <w:pPr>
        <w:spacing w:line="360" w:lineRule="auto"/>
        <w:jc w:val="both"/>
        <w:rPr>
          <w:rFonts w:ascii="Arial" w:hAnsi="Arial" w:cs="Arial"/>
          <w:b/>
        </w:rPr>
      </w:pPr>
    </w:p>
    <w:p w:rsidR="0015457B" w:rsidRDefault="0015457B" w:rsidP="007A3C36">
      <w:pPr>
        <w:spacing w:line="360" w:lineRule="auto"/>
        <w:jc w:val="both"/>
        <w:rPr>
          <w:rFonts w:ascii="Arial" w:hAnsi="Arial" w:cs="Arial"/>
          <w:b/>
        </w:rPr>
      </w:pPr>
    </w:p>
    <w:p w:rsidR="0057550B" w:rsidRDefault="0057550B" w:rsidP="007A3C36">
      <w:pPr>
        <w:spacing w:line="360" w:lineRule="auto"/>
        <w:jc w:val="both"/>
        <w:rPr>
          <w:rFonts w:ascii="Arial" w:hAnsi="Arial" w:cs="Arial"/>
          <w:b/>
        </w:rPr>
      </w:pPr>
    </w:p>
    <w:p w:rsidR="007A3C36" w:rsidRDefault="004D4002" w:rsidP="007A3C36">
      <w:pPr>
        <w:spacing w:line="360" w:lineRule="auto"/>
        <w:jc w:val="both"/>
        <w:rPr>
          <w:rFonts w:ascii="Arial" w:hAnsi="Arial" w:cs="Arial"/>
          <w:b/>
        </w:rPr>
      </w:pPr>
      <w:r>
        <w:rPr>
          <w:rFonts w:ascii="Arial" w:hAnsi="Arial" w:cs="Arial"/>
          <w:b/>
        </w:rPr>
        <w:lastRenderedPageBreak/>
        <w:t xml:space="preserve">V. </w:t>
      </w:r>
      <w:r w:rsidR="007A3C36" w:rsidRPr="004D4002">
        <w:rPr>
          <w:rFonts w:ascii="Arial" w:hAnsi="Arial" w:cs="Arial"/>
          <w:b/>
        </w:rPr>
        <w:t>MERCADO LABORAL</w:t>
      </w:r>
    </w:p>
    <w:p w:rsidR="004D4002" w:rsidRDefault="004D4002" w:rsidP="004D4002">
      <w:pPr>
        <w:spacing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79"/>
      </w:r>
      <w:r>
        <w:rPr>
          <w:rFonts w:ascii="Arial" w:hAnsi="Arial" w:cs="Arial"/>
        </w:rPr>
        <w:t xml:space="preserve">, en cambio, en el sector </w:t>
      </w:r>
      <w:r w:rsidR="00181337">
        <w:rPr>
          <w:rFonts w:ascii="Arial" w:hAnsi="Arial" w:cs="Arial"/>
        </w:rPr>
        <w:t>privado</w:t>
      </w:r>
      <w:r>
        <w:rPr>
          <w:rFonts w:ascii="Arial" w:hAnsi="Arial" w:cs="Arial"/>
        </w:rPr>
        <w:t xml:space="preserve"> se estima una proporción de 48%</w:t>
      </w:r>
      <w:r>
        <w:rPr>
          <w:rStyle w:val="Refdenotaalpie"/>
          <w:rFonts w:ascii="Arial" w:hAnsi="Arial" w:cs="Arial"/>
        </w:rPr>
        <w:footnoteReference w:id="80"/>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81"/>
      </w:r>
      <w:r>
        <w:rPr>
          <w:rFonts w:ascii="Arial" w:hAnsi="Arial" w:cs="Arial"/>
        </w:rPr>
        <w:t xml:space="preserve">. </w:t>
      </w:r>
    </w:p>
    <w:p w:rsidR="004D4002" w:rsidRDefault="004D4002" w:rsidP="004D4002">
      <w:pPr>
        <w:spacing w:line="360" w:lineRule="auto"/>
        <w:jc w:val="both"/>
        <w:rPr>
          <w:rFonts w:ascii="Arial" w:hAnsi="Arial" w:cs="Arial"/>
        </w:rPr>
      </w:pPr>
      <w:r>
        <w:rPr>
          <w:rFonts w:ascii="Arial" w:hAnsi="Arial" w:cs="Arial"/>
        </w:rPr>
        <w:t>Respecto a la distribución geográfica de los especialistas, tan sólo la Ciudad de México aglomera 30.1% de los especialistas a nivel nacional, le siguen Jalisco, el Estado de México y Nuevo León con 9.4%, 8.1% y 6.6%, respectivamente</w:t>
      </w:r>
      <w:r>
        <w:rPr>
          <w:rStyle w:val="Refdenotaalpie"/>
          <w:rFonts w:ascii="Arial" w:hAnsi="Arial" w:cs="Arial"/>
        </w:rPr>
        <w:footnoteReference w:id="82"/>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83"/>
      </w:r>
      <w:r>
        <w:rPr>
          <w:rFonts w:ascii="Arial" w:hAnsi="Arial" w:cs="Arial"/>
        </w:rPr>
        <w:t>.</w:t>
      </w:r>
    </w:p>
    <w:p w:rsidR="000C1A8D" w:rsidRDefault="000C1A8D" w:rsidP="004D4002">
      <w:pPr>
        <w:spacing w:line="360" w:lineRule="auto"/>
        <w:jc w:val="center"/>
        <w:rPr>
          <w:rFonts w:ascii="Arial" w:hAnsi="Arial" w:cs="Arial"/>
          <w:b/>
        </w:rPr>
      </w:pPr>
    </w:p>
    <w:p w:rsidR="000C1A8D" w:rsidRDefault="000C1A8D" w:rsidP="004D4002">
      <w:pPr>
        <w:spacing w:line="360" w:lineRule="auto"/>
        <w:jc w:val="center"/>
        <w:rPr>
          <w:rFonts w:ascii="Arial" w:hAnsi="Arial" w:cs="Arial"/>
          <w:b/>
        </w:rPr>
      </w:pPr>
    </w:p>
    <w:p w:rsidR="00C309BE" w:rsidRDefault="00C309BE" w:rsidP="004D4002">
      <w:pPr>
        <w:spacing w:line="360" w:lineRule="auto"/>
        <w:jc w:val="center"/>
        <w:rPr>
          <w:rFonts w:ascii="Arial" w:hAnsi="Arial" w:cs="Arial"/>
          <w:b/>
        </w:rPr>
      </w:pPr>
    </w:p>
    <w:p w:rsidR="000D099B" w:rsidRDefault="004D4002" w:rsidP="000D099B">
      <w:pPr>
        <w:spacing w:after="0" w:line="360" w:lineRule="auto"/>
        <w:jc w:val="center"/>
        <w:rPr>
          <w:rFonts w:ascii="Arial" w:hAnsi="Arial" w:cs="Arial"/>
          <w:b/>
        </w:rPr>
      </w:pPr>
      <w:r w:rsidRPr="00C06872">
        <w:rPr>
          <w:rFonts w:ascii="Arial" w:hAnsi="Arial" w:cs="Arial"/>
          <w:b/>
        </w:rPr>
        <w:lastRenderedPageBreak/>
        <w:t>Cuadro</w:t>
      </w:r>
      <w:r w:rsidR="00663CF6">
        <w:rPr>
          <w:rFonts w:ascii="Arial" w:hAnsi="Arial" w:cs="Arial"/>
          <w:b/>
        </w:rPr>
        <w:t xml:space="preserve"> 12</w:t>
      </w:r>
      <w:r w:rsidRPr="00C06872">
        <w:rPr>
          <w:rFonts w:ascii="Arial" w:hAnsi="Arial" w:cs="Arial"/>
          <w:b/>
        </w:rPr>
        <w:t xml:space="preserve">. Distribución de los especialistas médicos </w:t>
      </w:r>
    </w:p>
    <w:p w:rsidR="004D4002" w:rsidRPr="00C06872" w:rsidRDefault="004D4002" w:rsidP="000D099B">
      <w:pPr>
        <w:spacing w:after="0" w:line="360" w:lineRule="auto"/>
        <w:jc w:val="center"/>
        <w:rPr>
          <w:rFonts w:ascii="Arial" w:hAnsi="Arial" w:cs="Arial"/>
          <w:b/>
        </w:rPr>
      </w:pPr>
      <w:r w:rsidRPr="00C06872">
        <w:rPr>
          <w:rFonts w:ascii="Arial" w:hAnsi="Arial" w:cs="Arial"/>
          <w:b/>
        </w:rPr>
        <w:t>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510"/>
        <w:gridCol w:w="1200"/>
      </w:tblGrid>
      <w:tr w:rsidR="004D4002" w:rsidRPr="00C06872" w:rsidTr="00FA5B99">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4002" w:rsidRPr="00804DD8" w:rsidRDefault="004D4002" w:rsidP="00FA5B99">
            <w:pPr>
              <w:spacing w:after="0" w:line="240" w:lineRule="auto"/>
              <w:jc w:val="center"/>
              <w:rPr>
                <w:rFonts w:ascii="Arial" w:eastAsia="Times New Roman" w:hAnsi="Arial" w:cs="Arial"/>
                <w:b/>
                <w:bCs/>
                <w:color w:val="000000"/>
                <w:lang w:eastAsia="es-MX"/>
              </w:rPr>
            </w:pPr>
            <w:r w:rsidRPr="00804DD8">
              <w:rPr>
                <w:rFonts w:ascii="Arial" w:eastAsia="Times New Roman" w:hAnsi="Arial" w:cs="Arial"/>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4D4002" w:rsidRPr="00804DD8" w:rsidRDefault="004D4002" w:rsidP="00FA5B99">
            <w:pPr>
              <w:spacing w:after="0" w:line="240" w:lineRule="auto"/>
              <w:jc w:val="center"/>
              <w:rPr>
                <w:rFonts w:ascii="Arial" w:eastAsia="Times New Roman" w:hAnsi="Arial" w:cs="Arial"/>
                <w:b/>
                <w:bCs/>
                <w:color w:val="000000"/>
                <w:lang w:eastAsia="es-MX"/>
              </w:rPr>
            </w:pPr>
            <w:r w:rsidRPr="00804DD8">
              <w:rPr>
                <w:rFonts w:ascii="Arial" w:eastAsia="Times New Roman" w:hAnsi="Arial" w:cs="Arial"/>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D4002" w:rsidRPr="00804DD8" w:rsidRDefault="004D4002" w:rsidP="00FA5B99">
            <w:pPr>
              <w:spacing w:after="0" w:line="240" w:lineRule="auto"/>
              <w:jc w:val="center"/>
              <w:rPr>
                <w:rFonts w:ascii="Arial" w:eastAsia="Times New Roman" w:hAnsi="Arial" w:cs="Arial"/>
                <w:b/>
                <w:bCs/>
                <w:color w:val="000000"/>
                <w:lang w:eastAsia="es-MX"/>
              </w:rPr>
            </w:pPr>
            <w:r w:rsidRPr="00804DD8">
              <w:rPr>
                <w:rFonts w:ascii="Arial" w:eastAsia="Times New Roman" w:hAnsi="Arial" w:cs="Arial"/>
                <w:b/>
                <w:bCs/>
                <w:color w:val="000000"/>
                <w:lang w:eastAsia="es-MX"/>
              </w:rPr>
              <w:t>Tasa</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505.7</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185.3</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172.0</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135.0</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118.7</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113.9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112.3</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103.0</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95.7</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95.5</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94.9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94.2</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92.3</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91.5</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91.3</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90.9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90.8</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88.7</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87.2</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86.2</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83.3</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79.8</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74.1</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73.9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70.2</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69.1</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64.9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64.1</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61.9</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51.7</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39.2</w:t>
            </w:r>
          </w:p>
        </w:tc>
      </w:tr>
      <w:tr w:rsidR="004D4002" w:rsidRPr="00C06872" w:rsidTr="00FA5B99">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4D4002" w:rsidRPr="00804DD8" w:rsidRDefault="004D4002" w:rsidP="00FA5B99">
            <w:pPr>
              <w:spacing w:after="0" w:line="240" w:lineRule="auto"/>
              <w:jc w:val="center"/>
              <w:rPr>
                <w:rFonts w:ascii="Arial" w:eastAsia="Times New Roman" w:hAnsi="Arial" w:cs="Arial"/>
                <w:color w:val="000000"/>
                <w:sz w:val="20"/>
                <w:szCs w:val="20"/>
                <w:lang w:eastAsia="es-MX"/>
              </w:rPr>
            </w:pPr>
            <w:r w:rsidRPr="00804DD8">
              <w:rPr>
                <w:rFonts w:ascii="Arial" w:eastAsia="Times New Roman" w:hAnsi="Arial" w:cs="Arial"/>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4D4002" w:rsidRPr="00804DD8" w:rsidRDefault="004D4002" w:rsidP="00FA5B99">
            <w:pPr>
              <w:spacing w:after="0" w:line="240" w:lineRule="auto"/>
              <w:jc w:val="right"/>
              <w:rPr>
                <w:rFonts w:ascii="Arial" w:eastAsia="Times New Roman" w:hAnsi="Arial" w:cs="Arial"/>
                <w:color w:val="000000"/>
                <w:lang w:eastAsia="es-MX"/>
              </w:rPr>
            </w:pPr>
            <w:r w:rsidRPr="00804DD8">
              <w:rPr>
                <w:rFonts w:ascii="Arial" w:eastAsia="Times New Roman" w:hAnsi="Arial" w:cs="Arial"/>
                <w:color w:val="000000"/>
                <w:lang w:eastAsia="es-MX"/>
              </w:rPr>
              <w:t>35.9</w:t>
            </w:r>
          </w:p>
        </w:tc>
      </w:tr>
    </w:tbl>
    <w:p w:rsidR="004D4002" w:rsidRPr="00B13AFE" w:rsidRDefault="004D4002" w:rsidP="004D4002">
      <w:pPr>
        <w:spacing w:line="360" w:lineRule="auto"/>
        <w:ind w:left="2124" w:firstLine="708"/>
        <w:jc w:val="both"/>
        <w:rPr>
          <w:rFonts w:ascii="Arial" w:hAnsi="Arial" w:cs="Arial"/>
          <w:sz w:val="20"/>
        </w:rPr>
      </w:pPr>
      <w:r w:rsidRPr="000D099B">
        <w:rPr>
          <w:rFonts w:ascii="Arial" w:hAnsi="Arial" w:cs="Arial"/>
          <w:b/>
          <w:sz w:val="18"/>
        </w:rPr>
        <w:t>Fuente:</w:t>
      </w:r>
      <w:r w:rsidRPr="000D099B">
        <w:rPr>
          <w:rFonts w:ascii="Arial" w:hAnsi="Arial" w:cs="Arial"/>
          <w:sz w:val="18"/>
        </w:rPr>
        <w:t xml:space="preserve"> Heinze </w:t>
      </w:r>
      <w:r w:rsidR="00EC2116" w:rsidRPr="000D099B">
        <w:rPr>
          <w:rFonts w:ascii="Arial" w:hAnsi="Arial" w:cs="Arial"/>
          <w:i/>
          <w:sz w:val="18"/>
        </w:rPr>
        <w:t>et</w:t>
      </w:r>
      <w:r w:rsidRPr="000D099B">
        <w:rPr>
          <w:rFonts w:ascii="Arial" w:hAnsi="Arial" w:cs="Arial"/>
          <w:i/>
          <w:sz w:val="18"/>
        </w:rPr>
        <w:t xml:space="preserve"> al.</w:t>
      </w:r>
      <w:r w:rsidRPr="000D099B">
        <w:rPr>
          <w:rFonts w:ascii="Arial" w:hAnsi="Arial" w:cs="Arial"/>
          <w:sz w:val="18"/>
        </w:rPr>
        <w:t xml:space="preserve"> (2018), p. 344.</w:t>
      </w:r>
    </w:p>
    <w:p w:rsidR="004D4002" w:rsidRDefault="004D4002" w:rsidP="004D4002">
      <w:pPr>
        <w:spacing w:line="360" w:lineRule="auto"/>
        <w:jc w:val="both"/>
        <w:rPr>
          <w:rFonts w:ascii="Arial" w:hAnsi="Arial" w:cs="Arial"/>
        </w:rPr>
      </w:pPr>
      <w:r>
        <w:rPr>
          <w:rFonts w:ascii="Arial" w:hAnsi="Arial" w:cs="Arial"/>
        </w:rPr>
        <w:t xml:space="preserve">Respecto a lo anterior, es importante señalar que los recursos humanos son el activo principal de los sistemas de salud, y la capacidad de respuesta de éstos dependen, entre </w:t>
      </w:r>
      <w:r>
        <w:rPr>
          <w:rFonts w:ascii="Arial" w:hAnsi="Arial" w:cs="Arial"/>
        </w:rPr>
        <w:lastRenderedPageBreak/>
        <w:t>otros factores, del tamaño, composición, distribución y productividad de su fuerza laboral</w:t>
      </w:r>
      <w:r>
        <w:rPr>
          <w:rStyle w:val="Refdenotaalpie"/>
          <w:rFonts w:ascii="Arial" w:hAnsi="Arial" w:cs="Arial"/>
        </w:rPr>
        <w:footnoteReference w:id="84"/>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85"/>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86"/>
      </w:r>
      <w:r>
        <w:rPr>
          <w:rFonts w:ascii="Arial" w:hAnsi="Arial" w:cs="Arial"/>
        </w:rPr>
        <w:t>.</w:t>
      </w:r>
    </w:p>
    <w:p w:rsidR="004D4002" w:rsidRDefault="004D4002" w:rsidP="004D4002">
      <w:pPr>
        <w:spacing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4D4002" w:rsidRDefault="004D4002" w:rsidP="004D4002">
      <w:pPr>
        <w:spacing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sus perfiles epidemiológicos); elab</w:t>
      </w:r>
      <w:r>
        <w:rPr>
          <w:rFonts w:ascii="Arial" w:hAnsi="Arial" w:cs="Arial"/>
          <w:sz w:val="20"/>
        </w:rPr>
        <w:t xml:space="preserve">orar un diagnóstico situacional </w:t>
      </w:r>
      <w:r w:rsidRPr="000B10B8">
        <w:rPr>
          <w:rFonts w:ascii="Arial" w:hAnsi="Arial" w:cs="Arial"/>
          <w:sz w:val="20"/>
        </w:rPr>
        <w:t>y divulgar la información resultant</w:t>
      </w:r>
      <w:r>
        <w:rPr>
          <w:rFonts w:ascii="Arial" w:hAnsi="Arial" w:cs="Arial"/>
          <w:sz w:val="20"/>
        </w:rPr>
        <w:t xml:space="preserve">e; que las autoridades de salud </w:t>
      </w:r>
      <w:r w:rsidRPr="000B10B8">
        <w:rPr>
          <w:rFonts w:ascii="Arial" w:hAnsi="Arial" w:cs="Arial"/>
          <w:sz w:val="20"/>
        </w:rPr>
        <w:t xml:space="preserve">intensifiquen los mecanismos de promoción para </w:t>
      </w:r>
      <w:r w:rsidRPr="000B10B8">
        <w:rPr>
          <w:rFonts w:ascii="Arial" w:hAnsi="Arial" w:cs="Arial"/>
          <w:sz w:val="20"/>
        </w:rPr>
        <w:lastRenderedPageBreak/>
        <w:t>atraer a los 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sz w:val="20"/>
        </w:rPr>
        <w:footnoteReference w:id="87"/>
      </w:r>
    </w:p>
    <w:p w:rsidR="004D4002" w:rsidRDefault="004D4002" w:rsidP="004D4002">
      <w:pPr>
        <w:spacing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4D4002" w:rsidRDefault="004D4002" w:rsidP="004D4002">
      <w:pPr>
        <w:spacing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88"/>
      </w:r>
      <w:r>
        <w:rPr>
          <w:rFonts w:ascii="Arial" w:hAnsi="Arial" w:cs="Arial"/>
        </w:rPr>
        <w:t xml:space="preserve"> </w:t>
      </w:r>
      <w:r>
        <w:rPr>
          <w:rStyle w:val="Refdenotaalpie"/>
          <w:rFonts w:ascii="Arial" w:hAnsi="Arial" w:cs="Arial"/>
        </w:rPr>
        <w:footnoteReference w:id="89"/>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00EC2116">
        <w:rPr>
          <w:rFonts w:ascii="Arial" w:hAnsi="Arial" w:cs="Arial"/>
          <w:i/>
        </w:rPr>
        <w:t xml:space="preserve">et </w:t>
      </w:r>
      <w:r w:rsidRPr="005C538D">
        <w:rPr>
          <w:rFonts w:ascii="Arial" w:hAnsi="Arial" w:cs="Arial"/>
          <w:i/>
        </w:rPr>
        <w:t>al.</w:t>
      </w:r>
      <w:r w:rsidR="00C413C7">
        <w:rPr>
          <w:rFonts w:ascii="Arial" w:hAnsi="Arial" w:cs="Arial"/>
          <w:i/>
        </w:rPr>
        <w:t>,</w:t>
      </w:r>
      <w:r>
        <w:rPr>
          <w:rFonts w:ascii="Arial" w:hAnsi="Arial" w:cs="Arial"/>
        </w:rPr>
        <w:t xml:space="preserve"> señalan problemas de ineficiencia en la inserción de los médicos –generales y especialistas– al mercado laboral; sus estimaciones sugieren que 87.7% de los médicos </w:t>
      </w:r>
      <w:r>
        <w:rPr>
          <w:rFonts w:ascii="Arial" w:hAnsi="Arial" w:cs="Arial"/>
        </w:rPr>
        <w:lastRenderedPageBreak/>
        <w:t>en el país están empleados, por otro lado 8.9% de estos profesionistas están en el subempleo y 3.4% en el desempleo, por lo cual hay un desperdicio de 12.3% de los médicos a nivel nacional</w:t>
      </w:r>
      <w:r>
        <w:rPr>
          <w:rStyle w:val="Refdenotaalpie"/>
          <w:rFonts w:ascii="Arial" w:hAnsi="Arial" w:cs="Arial"/>
        </w:rPr>
        <w:footnoteReference w:id="90"/>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91"/>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92"/>
      </w:r>
      <w:r>
        <w:rPr>
          <w:rFonts w:ascii="Arial" w:hAnsi="Arial" w:cs="Arial"/>
        </w:rPr>
        <w:t>.</w:t>
      </w:r>
    </w:p>
    <w:p w:rsidR="004D4002" w:rsidRPr="00DA219B" w:rsidRDefault="004D4002" w:rsidP="004D4002">
      <w:pPr>
        <w:spacing w:line="360" w:lineRule="auto"/>
        <w:jc w:val="center"/>
        <w:rPr>
          <w:rFonts w:ascii="Arial" w:hAnsi="Arial" w:cs="Arial"/>
          <w:b/>
        </w:rPr>
      </w:pPr>
      <w:r w:rsidRPr="00DA219B">
        <w:rPr>
          <w:rFonts w:ascii="Arial" w:hAnsi="Arial" w:cs="Arial"/>
          <w:b/>
        </w:rPr>
        <w:t>Gráfica</w:t>
      </w:r>
      <w:r w:rsidR="00C75DC2">
        <w:rPr>
          <w:rFonts w:ascii="Arial" w:hAnsi="Arial" w:cs="Arial"/>
          <w:b/>
        </w:rPr>
        <w:t xml:space="preserve"> 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4D4002" w:rsidRDefault="004D4002" w:rsidP="004D4002">
      <w:pPr>
        <w:spacing w:line="360" w:lineRule="auto"/>
        <w:jc w:val="center"/>
        <w:rPr>
          <w:rFonts w:ascii="Arial" w:hAnsi="Arial" w:cs="Arial"/>
        </w:rPr>
      </w:pPr>
      <w:r>
        <w:rPr>
          <w:noProof/>
          <w:lang w:eastAsia="es-MX"/>
        </w:rPr>
        <w:drawing>
          <wp:inline distT="0" distB="0" distL="0" distR="0" wp14:anchorId="7B5364BC" wp14:editId="494C8D29">
            <wp:extent cx="4572000" cy="2743200"/>
            <wp:effectExtent l="0" t="0" r="0" b="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4D4002" w:rsidRPr="00B13AFE" w:rsidRDefault="000D099B" w:rsidP="004D4002">
      <w:pPr>
        <w:spacing w:line="360" w:lineRule="auto"/>
        <w:ind w:left="708" w:firstLine="708"/>
        <w:jc w:val="both"/>
        <w:rPr>
          <w:rFonts w:ascii="Arial" w:hAnsi="Arial" w:cs="Arial"/>
          <w:sz w:val="20"/>
        </w:rPr>
      </w:pPr>
      <w:r>
        <w:rPr>
          <w:rFonts w:ascii="Arial" w:hAnsi="Arial" w:cs="Arial"/>
          <w:b/>
          <w:sz w:val="18"/>
        </w:rPr>
        <w:t xml:space="preserve">            </w:t>
      </w:r>
      <w:r w:rsidR="004D4002" w:rsidRPr="000D099B">
        <w:rPr>
          <w:rFonts w:ascii="Arial" w:hAnsi="Arial" w:cs="Arial"/>
          <w:b/>
          <w:sz w:val="18"/>
        </w:rPr>
        <w:t>Fuente:</w:t>
      </w:r>
      <w:r w:rsidR="004D4002" w:rsidRPr="000D099B">
        <w:rPr>
          <w:rFonts w:ascii="Arial" w:hAnsi="Arial" w:cs="Arial"/>
          <w:sz w:val="18"/>
        </w:rPr>
        <w:t xml:space="preserve"> Elaboración propia con base en INEGI (2019a).</w:t>
      </w:r>
    </w:p>
    <w:p w:rsidR="004D4002" w:rsidRDefault="004D4002" w:rsidP="004D4002">
      <w:pPr>
        <w:spacing w:line="360" w:lineRule="auto"/>
        <w:jc w:val="both"/>
        <w:rPr>
          <w:rFonts w:ascii="Arial" w:hAnsi="Arial" w:cs="Arial"/>
        </w:rPr>
      </w:pPr>
      <w:r>
        <w:rPr>
          <w:rFonts w:ascii="Arial" w:hAnsi="Arial" w:cs="Arial"/>
        </w:rPr>
        <w:lastRenderedPageBreak/>
        <w:t>En cuanto a la posición de la ocupación de los médicos con estudios de posgrado, la mayoría se constituye como t</w:t>
      </w:r>
      <w:r w:rsidRPr="00DA4049">
        <w:rPr>
          <w:rFonts w:ascii="Arial" w:hAnsi="Arial" w:cs="Arial"/>
        </w:rPr>
        <w:t>rabajadores subordinados y remunerados</w:t>
      </w:r>
      <w:r>
        <w:rPr>
          <w:rFonts w:ascii="Arial" w:hAnsi="Arial" w:cs="Arial"/>
        </w:rPr>
        <w:t xml:space="preserve"> (69%), en menor proporción están aquellos que son empleadores (15.3%) y trabajadores por cuenta propia (15.2%)</w:t>
      </w:r>
      <w:r>
        <w:rPr>
          <w:rStyle w:val="Refdenotaalpie"/>
          <w:rFonts w:ascii="Arial" w:hAnsi="Arial" w:cs="Arial"/>
        </w:rPr>
        <w:footnoteReference w:id="93"/>
      </w:r>
      <w:r>
        <w:rPr>
          <w:rFonts w:ascii="Arial" w:hAnsi="Arial" w:cs="Arial"/>
        </w:rPr>
        <w:t xml:space="preserve">. </w:t>
      </w:r>
    </w:p>
    <w:p w:rsidR="004D4002" w:rsidRPr="00DA219B" w:rsidRDefault="004D4002" w:rsidP="004D4002">
      <w:pPr>
        <w:spacing w:line="360" w:lineRule="auto"/>
        <w:jc w:val="center"/>
        <w:rPr>
          <w:rFonts w:ascii="Arial" w:hAnsi="Arial" w:cs="Arial"/>
          <w:b/>
        </w:rPr>
      </w:pPr>
      <w:r w:rsidRPr="00DA219B">
        <w:rPr>
          <w:rFonts w:ascii="Arial" w:hAnsi="Arial" w:cs="Arial"/>
          <w:b/>
        </w:rPr>
        <w:t>Gráfica</w:t>
      </w:r>
      <w:r w:rsidR="00C75DC2">
        <w:rPr>
          <w:rFonts w:ascii="Arial" w:hAnsi="Arial" w:cs="Arial"/>
          <w:b/>
        </w:rPr>
        <w:t xml:space="preserve"> 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4D4002" w:rsidRDefault="004D4002" w:rsidP="004D4002">
      <w:pPr>
        <w:spacing w:line="360" w:lineRule="auto"/>
        <w:jc w:val="center"/>
        <w:rPr>
          <w:rFonts w:ascii="Arial" w:hAnsi="Arial" w:cs="Arial"/>
        </w:rPr>
      </w:pPr>
      <w:r>
        <w:rPr>
          <w:noProof/>
          <w:lang w:eastAsia="es-MX"/>
        </w:rPr>
        <w:drawing>
          <wp:inline distT="0" distB="0" distL="0" distR="0" wp14:anchorId="18D04A52" wp14:editId="09BFD8E6">
            <wp:extent cx="4572000" cy="2743200"/>
            <wp:effectExtent l="0" t="0" r="0" b="0"/>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D4002" w:rsidRPr="00B13AFE" w:rsidRDefault="000D099B" w:rsidP="004D4002">
      <w:pPr>
        <w:spacing w:line="360" w:lineRule="auto"/>
        <w:ind w:left="708" w:firstLine="708"/>
        <w:jc w:val="both"/>
        <w:rPr>
          <w:rFonts w:ascii="Arial" w:hAnsi="Arial" w:cs="Arial"/>
          <w:sz w:val="20"/>
        </w:rPr>
      </w:pPr>
      <w:r>
        <w:rPr>
          <w:rFonts w:ascii="Arial" w:hAnsi="Arial" w:cs="Arial"/>
          <w:b/>
          <w:sz w:val="18"/>
        </w:rPr>
        <w:t xml:space="preserve">           </w:t>
      </w:r>
      <w:r w:rsidR="004D4002" w:rsidRPr="000D099B">
        <w:rPr>
          <w:rFonts w:ascii="Arial" w:hAnsi="Arial" w:cs="Arial"/>
          <w:b/>
          <w:sz w:val="18"/>
        </w:rPr>
        <w:t>Fuente:</w:t>
      </w:r>
      <w:r w:rsidR="004D4002" w:rsidRPr="000D099B">
        <w:rPr>
          <w:rFonts w:ascii="Arial" w:hAnsi="Arial" w:cs="Arial"/>
          <w:sz w:val="18"/>
        </w:rPr>
        <w:t xml:space="preserve"> Elaboración propia con base en INEGI (2019a).</w:t>
      </w:r>
    </w:p>
    <w:p w:rsidR="004D4002" w:rsidRDefault="004D4002" w:rsidP="004D4002">
      <w:pPr>
        <w:spacing w:line="360" w:lineRule="auto"/>
        <w:jc w:val="both"/>
        <w:rPr>
          <w:rFonts w:ascii="Arial" w:hAnsi="Arial" w:cs="Arial"/>
        </w:rPr>
      </w:pPr>
      <w:r>
        <w:rPr>
          <w:rFonts w:ascii="Arial" w:hAnsi="Arial" w:cs="Arial"/>
        </w:rPr>
        <w:t>Respecto a las percepciones económicas,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94"/>
      </w:r>
      <w:r>
        <w:rPr>
          <w:rFonts w:ascii="Arial" w:hAnsi="Arial" w:cs="Arial"/>
        </w:rPr>
        <w:t xml:space="preserve">. </w:t>
      </w:r>
    </w:p>
    <w:p w:rsidR="004D4002" w:rsidRDefault="004D4002" w:rsidP="004D4002">
      <w:pPr>
        <w:spacing w:line="240" w:lineRule="auto"/>
        <w:jc w:val="center"/>
        <w:rPr>
          <w:rFonts w:ascii="Arial" w:hAnsi="Arial" w:cs="Arial"/>
          <w:b/>
        </w:rPr>
      </w:pPr>
    </w:p>
    <w:p w:rsidR="004D4002" w:rsidRDefault="004D4002" w:rsidP="004D4002">
      <w:pPr>
        <w:spacing w:line="240" w:lineRule="auto"/>
        <w:jc w:val="center"/>
        <w:rPr>
          <w:rFonts w:ascii="Arial" w:hAnsi="Arial" w:cs="Arial"/>
          <w:b/>
        </w:rPr>
      </w:pPr>
    </w:p>
    <w:p w:rsidR="004D4002" w:rsidRDefault="004D4002" w:rsidP="004D4002">
      <w:pPr>
        <w:spacing w:line="240" w:lineRule="auto"/>
        <w:jc w:val="center"/>
        <w:rPr>
          <w:rFonts w:ascii="Arial" w:hAnsi="Arial" w:cs="Arial"/>
          <w:b/>
        </w:rPr>
      </w:pPr>
    </w:p>
    <w:p w:rsidR="004D4002" w:rsidRDefault="004D4002" w:rsidP="004D4002">
      <w:pPr>
        <w:spacing w:line="240" w:lineRule="auto"/>
        <w:jc w:val="center"/>
        <w:rPr>
          <w:rFonts w:ascii="Arial" w:hAnsi="Arial" w:cs="Arial"/>
          <w:b/>
        </w:rPr>
      </w:pPr>
    </w:p>
    <w:p w:rsidR="004D4002" w:rsidRDefault="004D4002" w:rsidP="004D4002">
      <w:pPr>
        <w:spacing w:line="240" w:lineRule="auto"/>
        <w:jc w:val="center"/>
        <w:rPr>
          <w:rFonts w:ascii="Arial" w:hAnsi="Arial" w:cs="Arial"/>
          <w:b/>
        </w:rPr>
      </w:pPr>
    </w:p>
    <w:p w:rsidR="004D4002" w:rsidRDefault="004D4002" w:rsidP="004D4002">
      <w:pPr>
        <w:spacing w:line="240" w:lineRule="auto"/>
        <w:jc w:val="center"/>
        <w:rPr>
          <w:rFonts w:ascii="Arial" w:hAnsi="Arial" w:cs="Arial"/>
          <w:b/>
        </w:rPr>
      </w:pPr>
    </w:p>
    <w:p w:rsidR="0057550B" w:rsidRDefault="0057550B" w:rsidP="004D4002">
      <w:pPr>
        <w:spacing w:line="240" w:lineRule="auto"/>
        <w:jc w:val="center"/>
        <w:rPr>
          <w:rFonts w:ascii="Arial" w:hAnsi="Arial" w:cs="Arial"/>
          <w:b/>
        </w:rPr>
      </w:pPr>
    </w:p>
    <w:p w:rsidR="004D4002" w:rsidRPr="00DA219B" w:rsidRDefault="004D4002" w:rsidP="004D4002">
      <w:pPr>
        <w:spacing w:line="240" w:lineRule="auto"/>
        <w:jc w:val="center"/>
        <w:rPr>
          <w:rFonts w:ascii="Arial" w:hAnsi="Arial" w:cs="Arial"/>
          <w:b/>
        </w:rPr>
      </w:pPr>
      <w:r w:rsidRPr="00DA219B">
        <w:rPr>
          <w:rFonts w:ascii="Arial" w:hAnsi="Arial" w:cs="Arial"/>
          <w:b/>
        </w:rPr>
        <w:lastRenderedPageBreak/>
        <w:t>Gráfica</w:t>
      </w:r>
      <w:r w:rsidR="00C75DC2">
        <w:rPr>
          <w:rFonts w:ascii="Arial" w:hAnsi="Arial" w:cs="Arial"/>
          <w:b/>
        </w:rPr>
        <w:t xml:space="preserve"> 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4D4002" w:rsidRDefault="004D4002" w:rsidP="004D4002">
      <w:pPr>
        <w:spacing w:line="360" w:lineRule="auto"/>
        <w:jc w:val="center"/>
        <w:rPr>
          <w:rFonts w:ascii="Arial" w:hAnsi="Arial" w:cs="Arial"/>
        </w:rPr>
      </w:pPr>
      <w:r>
        <w:rPr>
          <w:noProof/>
          <w:lang w:eastAsia="es-MX"/>
        </w:rPr>
        <w:drawing>
          <wp:inline distT="0" distB="0" distL="0" distR="0" wp14:anchorId="1FF0B05F" wp14:editId="6FAAE48E">
            <wp:extent cx="4545133" cy="2405848"/>
            <wp:effectExtent l="0" t="0" r="8255" b="13970"/>
            <wp:docPr id="9" name="Gráfico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4D4002" w:rsidRPr="009F3F6B" w:rsidRDefault="000D099B" w:rsidP="004D4002">
      <w:pPr>
        <w:spacing w:line="360" w:lineRule="auto"/>
        <w:ind w:left="708" w:firstLine="708"/>
        <w:jc w:val="both"/>
        <w:rPr>
          <w:rFonts w:ascii="Arial" w:hAnsi="Arial" w:cs="Arial"/>
          <w:sz w:val="20"/>
        </w:rPr>
      </w:pPr>
      <w:r>
        <w:rPr>
          <w:rFonts w:ascii="Arial" w:hAnsi="Arial" w:cs="Arial"/>
          <w:b/>
          <w:sz w:val="18"/>
        </w:rPr>
        <w:t xml:space="preserve">             </w:t>
      </w:r>
      <w:r w:rsidR="004D4002" w:rsidRPr="000D099B">
        <w:rPr>
          <w:rFonts w:ascii="Arial" w:hAnsi="Arial" w:cs="Arial"/>
          <w:b/>
          <w:sz w:val="18"/>
        </w:rPr>
        <w:t>Fuente:</w:t>
      </w:r>
      <w:r w:rsidR="004D4002" w:rsidRPr="000D099B">
        <w:rPr>
          <w:rFonts w:ascii="Arial" w:hAnsi="Arial" w:cs="Arial"/>
          <w:sz w:val="18"/>
        </w:rPr>
        <w:t xml:space="preserve"> Elaboración propia con base en INEGI (2019a).</w:t>
      </w:r>
    </w:p>
    <w:p w:rsidR="00D36F68" w:rsidRDefault="00D36F68" w:rsidP="007A3C36">
      <w:pPr>
        <w:spacing w:line="360" w:lineRule="auto"/>
        <w:jc w:val="both"/>
        <w:rPr>
          <w:rFonts w:ascii="Arial" w:hAnsi="Arial" w:cs="Arial"/>
          <w:b/>
        </w:rPr>
      </w:pPr>
    </w:p>
    <w:p w:rsidR="007A3C36" w:rsidRPr="00F17473" w:rsidRDefault="004D4002" w:rsidP="007A3C36">
      <w:pPr>
        <w:spacing w:line="360" w:lineRule="auto"/>
        <w:jc w:val="both"/>
        <w:rPr>
          <w:rFonts w:ascii="Arial" w:hAnsi="Arial" w:cs="Arial"/>
          <w:b/>
        </w:rPr>
      </w:pPr>
      <w:r>
        <w:rPr>
          <w:rFonts w:ascii="Arial" w:hAnsi="Arial" w:cs="Arial"/>
          <w:b/>
        </w:rPr>
        <w:t xml:space="preserve">VI. </w:t>
      </w:r>
      <w:r w:rsidR="007A3C36" w:rsidRPr="00F17473">
        <w:rPr>
          <w:rFonts w:ascii="Arial" w:hAnsi="Arial" w:cs="Arial"/>
          <w:b/>
        </w:rPr>
        <w:t xml:space="preserve">OFERTA EDUCATIVA </w:t>
      </w:r>
    </w:p>
    <w:p w:rsidR="00D50118" w:rsidRPr="00642DED" w:rsidRDefault="00D50118" w:rsidP="00D50118">
      <w:pPr>
        <w:spacing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95"/>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D50118" w:rsidRPr="00642DED" w:rsidRDefault="00D50118" w:rsidP="00D50118">
      <w:pPr>
        <w:spacing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B779A4">
        <w:rPr>
          <w:rFonts w:ascii="Arial" w:hAnsi="Arial" w:cs="Arial"/>
        </w:rPr>
        <w:t>Medicina del Enfermo Adulto en Estado Crítico</w:t>
      </w:r>
      <w:r w:rsidRPr="00642DED">
        <w:rPr>
          <w:rFonts w:ascii="Arial" w:hAnsi="Arial" w:cs="Arial"/>
        </w:rPr>
        <w:t xml:space="preserve">, primero se abordarán algunos aspectos generales de las especialidades médicas que servirán de referentes.  </w:t>
      </w:r>
    </w:p>
    <w:p w:rsidR="00D50118" w:rsidRDefault="00D50118" w:rsidP="00D50118">
      <w:pPr>
        <w:spacing w:line="360" w:lineRule="auto"/>
        <w:jc w:val="both"/>
        <w:rPr>
          <w:rFonts w:ascii="Arial" w:hAnsi="Arial" w:cs="Arial"/>
        </w:rPr>
      </w:pPr>
      <w:r w:rsidRPr="00642DED">
        <w:rPr>
          <w:rFonts w:ascii="Arial" w:hAnsi="Arial" w:cs="Arial"/>
        </w:rPr>
        <w:t xml:space="preserve">En primera instancia es importante aclarar que la oferta académica, es decir los programas educativos que las instituciones ofrecen, se entiende y comprende a partir de </w:t>
      </w:r>
      <w:r w:rsidRPr="00642DED">
        <w:rPr>
          <w:rFonts w:ascii="Arial" w:hAnsi="Arial" w:cs="Arial"/>
        </w:rPr>
        <w:lastRenderedPageBreak/>
        <w:t xml:space="preserve">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 xml:space="preserve">se estudiaron tanto la oferta como la demanda en un periodo de siete años, de 2009 a 2016. Algunos de los datos se encuentran en la </w:t>
      </w:r>
      <w:r w:rsidR="006E1936">
        <w:rPr>
          <w:rFonts w:ascii="Arial" w:hAnsi="Arial" w:cs="Arial"/>
        </w:rPr>
        <w:t>(</w:t>
      </w:r>
      <w:r w:rsidRPr="00642DED">
        <w:rPr>
          <w:rFonts w:ascii="Arial" w:hAnsi="Arial" w:cs="Arial"/>
        </w:rPr>
        <w:t>Tabla 1</w:t>
      </w:r>
      <w:r w:rsidR="006E1936">
        <w:rPr>
          <w:rFonts w:ascii="Arial" w:hAnsi="Arial" w:cs="Arial"/>
        </w:rPr>
        <w:t>)</w:t>
      </w:r>
      <w:r w:rsidRPr="00642DED">
        <w:rPr>
          <w:rFonts w:ascii="Arial" w:hAnsi="Arial" w:cs="Arial"/>
        </w:rPr>
        <w:t>.</w:t>
      </w:r>
    </w:p>
    <w:p w:rsidR="00D50118" w:rsidRPr="006A1B3A" w:rsidRDefault="00D50118" w:rsidP="00D50118">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D50118" w:rsidRPr="006A1B3A" w:rsidTr="00D50118">
        <w:trPr>
          <w:tblHeader/>
          <w:jc w:val="center"/>
        </w:trPr>
        <w:tc>
          <w:tcPr>
            <w:tcW w:w="4414" w:type="dxa"/>
            <w:shd w:val="clear" w:color="auto" w:fill="2F5496" w:themeFill="accent5" w:themeFillShade="BF"/>
          </w:tcPr>
          <w:p w:rsidR="00D50118" w:rsidRPr="00642DED" w:rsidRDefault="00D50118" w:rsidP="00D50118">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2F5496" w:themeFill="accent5" w:themeFillShade="BF"/>
          </w:tcPr>
          <w:p w:rsidR="00D50118" w:rsidRPr="00642DED" w:rsidRDefault="00D50118" w:rsidP="00D50118">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D50118" w:rsidRPr="006A1B3A" w:rsidTr="00D50118">
        <w:trPr>
          <w:jc w:val="center"/>
        </w:trPr>
        <w:tc>
          <w:tcPr>
            <w:tcW w:w="4414" w:type="dxa"/>
          </w:tcPr>
          <w:p w:rsidR="00D50118" w:rsidRPr="00642DED" w:rsidRDefault="00D50118" w:rsidP="00D50118">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D50118" w:rsidRPr="00642DED" w:rsidRDefault="00D50118" w:rsidP="00D50118">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D50118" w:rsidRPr="00642DED" w:rsidRDefault="00D50118" w:rsidP="00D50118">
            <w:pPr>
              <w:jc w:val="both"/>
              <w:rPr>
                <w:rFonts w:ascii="Arial" w:hAnsi="Arial" w:cs="Arial"/>
                <w:sz w:val="20"/>
                <w:szCs w:val="20"/>
              </w:rPr>
            </w:pPr>
          </w:p>
        </w:tc>
      </w:tr>
      <w:tr w:rsidR="00D50118" w:rsidRPr="006A1B3A" w:rsidTr="00D50118">
        <w:trPr>
          <w:jc w:val="center"/>
        </w:trPr>
        <w:tc>
          <w:tcPr>
            <w:tcW w:w="4414" w:type="dxa"/>
          </w:tcPr>
          <w:p w:rsidR="00D50118" w:rsidRPr="00642DED" w:rsidRDefault="00D50118" w:rsidP="00D50118">
            <w:pPr>
              <w:jc w:val="both"/>
              <w:rPr>
                <w:rFonts w:ascii="Arial" w:hAnsi="Arial" w:cs="Arial"/>
                <w:sz w:val="20"/>
                <w:szCs w:val="20"/>
              </w:rPr>
            </w:pPr>
            <w:r w:rsidRPr="00642DED">
              <w:rPr>
                <w:rFonts w:ascii="Arial" w:hAnsi="Arial" w:cs="Arial"/>
                <w:sz w:val="20"/>
                <w:szCs w:val="20"/>
              </w:rPr>
              <w:t>Las 10 especialidades más demandadas fueron:</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Cirugía General</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Medicina Interna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Pediatría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Ginecología y Obstetricia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Medicina Familiar</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Anestesiología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Traumatología y Ortopedia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Imagenología diagnóstica y terapéutica</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Medicina de Urgencias</w:t>
            </w:r>
          </w:p>
          <w:p w:rsidR="00D50118" w:rsidRPr="00642DED" w:rsidRDefault="00D50118" w:rsidP="00D50118">
            <w:pPr>
              <w:pStyle w:val="Prrafodelista"/>
              <w:numPr>
                <w:ilvl w:val="0"/>
                <w:numId w:val="8"/>
              </w:numPr>
              <w:jc w:val="both"/>
              <w:rPr>
                <w:rFonts w:ascii="Arial" w:hAnsi="Arial" w:cs="Arial"/>
                <w:sz w:val="20"/>
                <w:szCs w:val="20"/>
              </w:rPr>
            </w:pPr>
            <w:r w:rsidRPr="00642DED">
              <w:rPr>
                <w:rFonts w:ascii="Arial" w:hAnsi="Arial" w:cs="Arial"/>
                <w:sz w:val="20"/>
                <w:szCs w:val="20"/>
              </w:rPr>
              <w:t>Oftalmología</w:t>
            </w:r>
          </w:p>
          <w:p w:rsidR="00D50118" w:rsidRPr="00642DED" w:rsidRDefault="00D50118" w:rsidP="00D50118">
            <w:pPr>
              <w:pStyle w:val="Prrafodelista"/>
              <w:jc w:val="both"/>
              <w:rPr>
                <w:rFonts w:ascii="Arial" w:hAnsi="Arial" w:cs="Arial"/>
                <w:sz w:val="20"/>
                <w:szCs w:val="20"/>
              </w:rPr>
            </w:pPr>
          </w:p>
        </w:tc>
        <w:tc>
          <w:tcPr>
            <w:tcW w:w="4414" w:type="dxa"/>
          </w:tcPr>
          <w:p w:rsidR="00D50118" w:rsidRPr="00642DED" w:rsidRDefault="00D50118" w:rsidP="00D50118">
            <w:pPr>
              <w:jc w:val="both"/>
              <w:rPr>
                <w:rFonts w:ascii="Arial" w:hAnsi="Arial" w:cs="Arial"/>
                <w:sz w:val="20"/>
                <w:szCs w:val="20"/>
              </w:rPr>
            </w:pPr>
            <w:r w:rsidRPr="00642DED">
              <w:rPr>
                <w:rFonts w:ascii="Arial" w:hAnsi="Arial" w:cs="Arial"/>
                <w:sz w:val="20"/>
                <w:szCs w:val="20"/>
              </w:rPr>
              <w:t>Las 10 especialidades con mayor oferta fueron:</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Medicina Familiar</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Medicina Interna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Pediatría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Anestesiología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Ginecología y Obstetricia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Cirugía General</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Medicina de Urgencias</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Traumatología y Ortopedia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Imagenología diagnóstica y terapéutica</w:t>
            </w:r>
          </w:p>
          <w:p w:rsidR="00D50118" w:rsidRPr="00642DED" w:rsidRDefault="00D50118" w:rsidP="00D50118">
            <w:pPr>
              <w:pStyle w:val="Prrafodelista"/>
              <w:numPr>
                <w:ilvl w:val="0"/>
                <w:numId w:val="7"/>
              </w:numPr>
              <w:jc w:val="both"/>
              <w:rPr>
                <w:rFonts w:ascii="Arial" w:hAnsi="Arial" w:cs="Arial"/>
                <w:sz w:val="20"/>
                <w:szCs w:val="20"/>
              </w:rPr>
            </w:pPr>
            <w:r w:rsidRPr="00642DED">
              <w:rPr>
                <w:rFonts w:ascii="Arial" w:hAnsi="Arial" w:cs="Arial"/>
                <w:sz w:val="20"/>
                <w:szCs w:val="20"/>
              </w:rPr>
              <w:t>Oftalmología</w:t>
            </w:r>
          </w:p>
          <w:p w:rsidR="00D50118" w:rsidRPr="00642DED" w:rsidRDefault="00D50118" w:rsidP="00D50118">
            <w:pPr>
              <w:pStyle w:val="Prrafodelista"/>
              <w:jc w:val="both"/>
              <w:rPr>
                <w:rFonts w:ascii="Arial" w:hAnsi="Arial" w:cs="Arial"/>
                <w:sz w:val="20"/>
                <w:szCs w:val="20"/>
              </w:rPr>
            </w:pPr>
          </w:p>
        </w:tc>
      </w:tr>
      <w:tr w:rsidR="00D50118" w:rsidRPr="006A1B3A" w:rsidTr="00D50118">
        <w:trPr>
          <w:jc w:val="center"/>
        </w:trPr>
        <w:tc>
          <w:tcPr>
            <w:tcW w:w="8828" w:type="dxa"/>
            <w:gridSpan w:val="2"/>
          </w:tcPr>
          <w:p w:rsidR="00D50118" w:rsidRPr="00642DED" w:rsidRDefault="00D50118" w:rsidP="00D50118">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D36F68" w:rsidRDefault="00D50118" w:rsidP="00D36F68">
      <w:pPr>
        <w:spacing w:after="0"/>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xml:space="preserve">: Elaboración propia con base en Brechas en la Disponibilidad de Médicos y Enfermeras </w:t>
      </w:r>
    </w:p>
    <w:p w:rsidR="00D50118" w:rsidRPr="00642DED" w:rsidRDefault="00D50118" w:rsidP="00D36F68">
      <w:pPr>
        <w:spacing w:after="0"/>
        <w:jc w:val="center"/>
        <w:rPr>
          <w:rFonts w:ascii="Arial" w:hAnsi="Arial" w:cs="Arial"/>
          <w:spacing w:val="-4"/>
          <w:sz w:val="18"/>
          <w:szCs w:val="18"/>
        </w:rPr>
      </w:pPr>
      <w:r w:rsidRPr="00642DED">
        <w:rPr>
          <w:rFonts w:ascii="Arial" w:hAnsi="Arial" w:cs="Arial"/>
          <w:spacing w:val="-4"/>
          <w:sz w:val="18"/>
          <w:szCs w:val="18"/>
        </w:rPr>
        <w:t>Especialistas en el Sistema Nacional de Salud (2017).</w:t>
      </w:r>
    </w:p>
    <w:p w:rsidR="00D36F68" w:rsidRPr="00D36F68" w:rsidRDefault="00D36F68" w:rsidP="00D50118">
      <w:pPr>
        <w:spacing w:line="360" w:lineRule="auto"/>
        <w:jc w:val="both"/>
        <w:rPr>
          <w:rFonts w:ascii="Arial" w:hAnsi="Arial" w:cs="Arial"/>
          <w:sz w:val="14"/>
        </w:rPr>
      </w:pPr>
    </w:p>
    <w:p w:rsidR="00D50118" w:rsidRPr="00642DED" w:rsidRDefault="00D50118" w:rsidP="00D50118">
      <w:pPr>
        <w:spacing w:line="360" w:lineRule="auto"/>
        <w:jc w:val="both"/>
        <w:rPr>
          <w:rFonts w:ascii="Arial" w:hAnsi="Arial" w:cs="Arial"/>
        </w:rPr>
      </w:pPr>
      <w:r w:rsidRPr="00642DED">
        <w:rPr>
          <w:rFonts w:ascii="Arial" w:hAnsi="Arial" w:cs="Arial"/>
        </w:rPr>
        <w:t xml:space="preserve">Según el documento de la Academia Nacional de Medicina sobre </w:t>
      </w:r>
      <w:r w:rsidRPr="00642DED">
        <w:rPr>
          <w:rFonts w:ascii="Arial" w:hAnsi="Arial" w:cs="Arial"/>
          <w:i/>
        </w:rPr>
        <w:t xml:space="preserve">La Formación de </w:t>
      </w:r>
      <w:r>
        <w:rPr>
          <w:rFonts w:ascii="Arial" w:hAnsi="Arial" w:cs="Arial"/>
          <w:i/>
        </w:rPr>
        <w:t>Médicos Especialistas en México</w:t>
      </w:r>
      <w:r>
        <w:rPr>
          <w:rStyle w:val="Refdenotaalpie"/>
          <w:rFonts w:ascii="Arial" w:hAnsi="Arial" w:cs="Arial"/>
          <w:i/>
        </w:rPr>
        <w:footnoteReference w:id="96"/>
      </w:r>
      <w:r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Pr="00642DED">
        <w:rPr>
          <w:rFonts w:ascii="Arial" w:hAnsi="Arial" w:cs="Arial"/>
          <w:i/>
        </w:rPr>
        <w:t xml:space="preserve">Brechas en la Disponibilidad de Médicos y Enfermeras Especialistas en el Sistema de Nacional de Salud </w:t>
      </w:r>
      <w:r w:rsidRPr="00642DED">
        <w:rPr>
          <w:rFonts w:ascii="Arial" w:hAnsi="Arial" w:cs="Arial"/>
        </w:rPr>
        <w:t xml:space="preserve"> del Instituto Nacional de Salud Pública.</w:t>
      </w:r>
    </w:p>
    <w:p w:rsidR="00D50118" w:rsidRPr="00642DED" w:rsidRDefault="00D50118" w:rsidP="00D50118">
      <w:pPr>
        <w:spacing w:line="360" w:lineRule="auto"/>
        <w:jc w:val="both"/>
        <w:rPr>
          <w:rFonts w:ascii="Arial" w:hAnsi="Arial" w:cs="Arial"/>
        </w:rPr>
      </w:pPr>
      <w:r w:rsidRPr="00642DED">
        <w:rPr>
          <w:rFonts w:ascii="Arial" w:hAnsi="Arial" w:cs="Arial"/>
        </w:rPr>
        <w:t xml:space="preserve">Específicamente, en lo que concierne a la Especialidad en </w:t>
      </w:r>
      <w:r w:rsidR="002C61E0">
        <w:rPr>
          <w:rFonts w:ascii="Arial" w:hAnsi="Arial" w:cs="Arial"/>
        </w:rPr>
        <w:t>Medicina del Enfermo Adulto en Estado Crítico,</w:t>
      </w:r>
      <w:r>
        <w:rPr>
          <w:rFonts w:ascii="Arial" w:hAnsi="Arial" w:cs="Arial"/>
        </w:rPr>
        <w:t xml:space="preserve"> puede observarse que </w:t>
      </w:r>
      <w:r w:rsidR="002C61E0">
        <w:rPr>
          <w:rFonts w:ascii="Arial" w:hAnsi="Arial" w:cs="Arial"/>
        </w:rPr>
        <w:t>dicha</w:t>
      </w:r>
      <w:r w:rsidRPr="00642DED">
        <w:rPr>
          <w:rFonts w:ascii="Arial" w:hAnsi="Arial" w:cs="Arial"/>
        </w:rPr>
        <w:t xml:space="preserve"> especialidad </w:t>
      </w:r>
      <w:r w:rsidR="002C61E0">
        <w:rPr>
          <w:rFonts w:ascii="Arial" w:hAnsi="Arial" w:cs="Arial"/>
        </w:rPr>
        <w:t>no se encuentra entre las de</w:t>
      </w:r>
      <w:r w:rsidRPr="00642DED">
        <w:rPr>
          <w:rFonts w:ascii="Arial" w:hAnsi="Arial" w:cs="Arial"/>
        </w:rPr>
        <w:t xml:space="preserve"> mayor demanda y con mayor oferta (Tabla 1). Según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 xml:space="preserve">en 2016 se ofertaron 773 plazas para los 3,832 médicos generales que sustentaron el </w:t>
      </w:r>
      <w:r w:rsidRPr="00642DED">
        <w:rPr>
          <w:rFonts w:ascii="Arial" w:hAnsi="Arial" w:cs="Arial"/>
        </w:rPr>
        <w:lastRenderedPageBreak/>
        <w:t>Examen Nacional de Aspirantes a Residencias Médicas (ENARM) para ingresar a la Especialidad en Anestesiología, de lo anterior se desprende que aproximadamente 1 de cada 5 sustentantes ingresó a la residencia.</w:t>
      </w:r>
    </w:p>
    <w:p w:rsidR="00FA5B99" w:rsidRPr="00453527" w:rsidRDefault="00FA5B99" w:rsidP="00FA5B99">
      <w:pPr>
        <w:spacing w:after="0" w:line="360" w:lineRule="auto"/>
        <w:jc w:val="both"/>
        <w:rPr>
          <w:rFonts w:ascii="Arial" w:hAnsi="Arial" w:cs="Arial"/>
        </w:rPr>
      </w:pPr>
      <w:r w:rsidRPr="00453527">
        <w:rPr>
          <w:rFonts w:ascii="Arial" w:hAnsi="Arial" w:cs="Arial"/>
        </w:rPr>
        <w:t xml:space="preserve">La atención del enfermo adulto en estado </w:t>
      </w:r>
      <w:r>
        <w:rPr>
          <w:rFonts w:ascii="Arial" w:hAnsi="Arial" w:cs="Arial"/>
        </w:rPr>
        <w:t>crítico</w:t>
      </w:r>
      <w:r w:rsidRPr="00453527">
        <w:rPr>
          <w:rFonts w:ascii="Arial" w:hAnsi="Arial" w:cs="Arial"/>
        </w:rPr>
        <w:t xml:space="preserve"> es tarea de la medicina crítica, asistencia que se da a través de los cuidados intensivos que no se pueden proporcionar en las salas regulares de un centro hospitalario, por lo que ésta especialidad requiere de profesionales con conocimientos específicos en el saber vigilar y mantener en mejores condiciones los signos vitales del enfermo </w:t>
      </w:r>
      <w:r>
        <w:rPr>
          <w:rFonts w:ascii="Arial" w:hAnsi="Arial" w:cs="Arial"/>
        </w:rPr>
        <w:t xml:space="preserve">crítico </w:t>
      </w:r>
      <w:r w:rsidRPr="00453527">
        <w:rPr>
          <w:rFonts w:ascii="Arial" w:hAnsi="Arial" w:cs="Arial"/>
        </w:rPr>
        <w:t xml:space="preserve">a través del monitoreo multiparamétrico, además de controlar las complicaciones </w:t>
      </w:r>
      <w:r>
        <w:rPr>
          <w:rFonts w:ascii="Arial" w:hAnsi="Arial" w:cs="Arial"/>
        </w:rPr>
        <w:t>delicadas</w:t>
      </w:r>
      <w:r w:rsidRPr="00453527">
        <w:rPr>
          <w:rFonts w:ascii="Arial" w:hAnsi="Arial" w:cs="Arial"/>
        </w:rPr>
        <w:t xml:space="preserve"> que se llegaran a presentar en el paciente.</w:t>
      </w:r>
      <w:r>
        <w:rPr>
          <w:rFonts w:ascii="Arial" w:hAnsi="Arial" w:cs="Arial"/>
        </w:rPr>
        <w:t xml:space="preserve"> </w:t>
      </w:r>
      <w:r w:rsidRPr="00453527">
        <w:rPr>
          <w:rFonts w:ascii="Arial" w:hAnsi="Arial" w:cs="Arial"/>
        </w:rPr>
        <w:t>A pesar de que existe una tendencia en el incremento de este tipo de pacientes, no existen los suficientes especialistas en medicina crítica, los médicos y enfermeras que intervienen en la mayoría de estos casos son profesionales de otras especialidades.</w:t>
      </w:r>
      <w:r w:rsidRPr="00453527">
        <w:rPr>
          <w:rFonts w:ascii="Arial" w:hAnsi="Arial" w:cs="Arial"/>
          <w:vertAlign w:val="superscript"/>
        </w:rPr>
        <w:footnoteReference w:id="97"/>
      </w:r>
      <w:r w:rsidRPr="00453527">
        <w:rPr>
          <w:rFonts w:ascii="Arial" w:hAnsi="Arial" w:cs="Arial"/>
        </w:rPr>
        <w:t xml:space="preserve"> </w:t>
      </w:r>
    </w:p>
    <w:p w:rsidR="00FA5B99" w:rsidRPr="00453527" w:rsidRDefault="00FA5B99" w:rsidP="00FA5B99">
      <w:pPr>
        <w:spacing w:after="0" w:line="360" w:lineRule="auto"/>
        <w:jc w:val="both"/>
        <w:rPr>
          <w:rFonts w:ascii="Arial" w:hAnsi="Arial" w:cs="Arial"/>
        </w:rPr>
      </w:pPr>
    </w:p>
    <w:p w:rsidR="00FA5B99" w:rsidRPr="00453527" w:rsidRDefault="00FA5B99" w:rsidP="00FA5B99">
      <w:pPr>
        <w:spacing w:after="0" w:line="360" w:lineRule="auto"/>
        <w:jc w:val="both"/>
        <w:rPr>
          <w:rFonts w:ascii="Arial" w:hAnsi="Arial" w:cs="Arial"/>
        </w:rPr>
      </w:pPr>
      <w:r w:rsidRPr="00453527">
        <w:rPr>
          <w:rFonts w:ascii="Arial" w:hAnsi="Arial" w:cs="Arial"/>
        </w:rPr>
        <w:t xml:space="preserve">Por otra parte, la Secretaria de Salud reportó que del 2006 al 2015 se incrementó </w:t>
      </w:r>
      <w:r>
        <w:rPr>
          <w:rFonts w:ascii="Arial" w:hAnsi="Arial" w:cs="Arial"/>
        </w:rPr>
        <w:t xml:space="preserve">un </w:t>
      </w:r>
      <w:r w:rsidRPr="00453527">
        <w:rPr>
          <w:rFonts w:ascii="Arial" w:hAnsi="Arial" w:cs="Arial"/>
        </w:rPr>
        <w:t xml:space="preserve">34% el número de consultas </w:t>
      </w:r>
      <w:r>
        <w:rPr>
          <w:rFonts w:ascii="Arial" w:hAnsi="Arial" w:cs="Arial"/>
        </w:rPr>
        <w:t>especializadas</w:t>
      </w:r>
      <w:r w:rsidRPr="00453527">
        <w:rPr>
          <w:rFonts w:ascii="Arial" w:hAnsi="Arial" w:cs="Arial"/>
        </w:rPr>
        <w:t>, ocupando la mayor cantidad de atenciones las denominadas “otras”</w:t>
      </w:r>
      <w:r>
        <w:rPr>
          <w:rFonts w:ascii="Arial" w:hAnsi="Arial" w:cs="Arial"/>
        </w:rPr>
        <w:t xml:space="preserve"> especialidades</w:t>
      </w:r>
      <w:r w:rsidRPr="00453527">
        <w:rPr>
          <w:rFonts w:ascii="Arial" w:hAnsi="Arial" w:cs="Arial"/>
        </w:rPr>
        <w:t xml:space="preserve">, en las que se incluye la medicina crítica y aquellas no desglosadas </w:t>
      </w:r>
      <w:r w:rsidR="006E1936">
        <w:rPr>
          <w:rFonts w:ascii="Arial" w:hAnsi="Arial" w:cs="Arial"/>
        </w:rPr>
        <w:t xml:space="preserve">en el </w:t>
      </w:r>
      <w:r w:rsidR="00D82279">
        <w:rPr>
          <w:rFonts w:ascii="Arial" w:hAnsi="Arial" w:cs="Arial"/>
        </w:rPr>
        <w:t>(</w:t>
      </w:r>
      <w:r w:rsidR="006E1936">
        <w:rPr>
          <w:rFonts w:ascii="Arial" w:hAnsi="Arial" w:cs="Arial"/>
        </w:rPr>
        <w:t>Gráfica</w:t>
      </w:r>
      <w:r w:rsidRPr="00453527">
        <w:rPr>
          <w:rFonts w:ascii="Arial" w:hAnsi="Arial" w:cs="Arial"/>
        </w:rPr>
        <w:t xml:space="preserve"> 1</w:t>
      </w:r>
      <w:r w:rsidR="006E1936">
        <w:rPr>
          <w:rFonts w:ascii="Arial" w:hAnsi="Arial" w:cs="Arial"/>
        </w:rPr>
        <w:t>3</w:t>
      </w:r>
      <w:r w:rsidR="00D82279">
        <w:rPr>
          <w:rFonts w:ascii="Arial" w:hAnsi="Arial" w:cs="Arial"/>
        </w:rPr>
        <w:t>)</w:t>
      </w:r>
      <w:r w:rsidRPr="00453527">
        <w:rPr>
          <w:rFonts w:ascii="Arial" w:hAnsi="Arial" w:cs="Arial"/>
        </w:rPr>
        <w:t>.</w:t>
      </w:r>
      <w:r w:rsidRPr="00453527">
        <w:rPr>
          <w:rFonts w:ascii="Arial" w:hAnsi="Arial" w:cs="Arial"/>
          <w:vertAlign w:val="superscript"/>
        </w:rPr>
        <w:footnoteReference w:id="98"/>
      </w:r>
      <w:r w:rsidRPr="00453527">
        <w:rPr>
          <w:rFonts w:ascii="Arial" w:hAnsi="Arial" w:cs="Arial"/>
          <w:vertAlign w:val="superscript"/>
        </w:rPr>
        <w:t xml:space="preserve"> </w:t>
      </w:r>
    </w:p>
    <w:p w:rsidR="001958ED" w:rsidRPr="00453527" w:rsidRDefault="001958ED" w:rsidP="00FA5B99">
      <w:pPr>
        <w:spacing w:after="0" w:line="240" w:lineRule="auto"/>
        <w:jc w:val="center"/>
        <w:rPr>
          <w:rFonts w:ascii="Arial" w:hAnsi="Arial" w:cs="Arial"/>
          <w:b/>
          <w:noProof/>
          <w:lang w:val="es-CO" w:eastAsia="es-MX"/>
        </w:rPr>
      </w:pPr>
    </w:p>
    <w:p w:rsidR="00FA5B99" w:rsidRPr="00453527" w:rsidRDefault="00FA5B99" w:rsidP="00FA5B99">
      <w:pPr>
        <w:spacing w:after="0" w:line="240" w:lineRule="auto"/>
        <w:jc w:val="center"/>
        <w:rPr>
          <w:rFonts w:ascii="Arial" w:hAnsi="Arial" w:cs="Arial"/>
          <w:b/>
          <w:noProof/>
          <w:lang w:val="es-CO" w:eastAsia="es-MX"/>
        </w:rPr>
      </w:pPr>
      <w:r w:rsidRPr="00453527">
        <w:rPr>
          <w:rFonts w:ascii="Arial" w:hAnsi="Arial" w:cs="Arial"/>
          <w:b/>
          <w:noProof/>
          <w:lang w:val="es-CO" w:eastAsia="es-MX"/>
        </w:rPr>
        <w:t>Gráfic</w:t>
      </w:r>
      <w:r w:rsidR="00D82279">
        <w:rPr>
          <w:rFonts w:ascii="Arial" w:hAnsi="Arial" w:cs="Arial"/>
          <w:b/>
          <w:noProof/>
          <w:lang w:val="es-CO" w:eastAsia="es-MX"/>
        </w:rPr>
        <w:t>a</w:t>
      </w:r>
      <w:r w:rsidRPr="00453527">
        <w:rPr>
          <w:rFonts w:ascii="Arial" w:hAnsi="Arial" w:cs="Arial"/>
          <w:b/>
          <w:noProof/>
          <w:lang w:val="es-CO" w:eastAsia="es-MX"/>
        </w:rPr>
        <w:t xml:space="preserve"> 1</w:t>
      </w:r>
      <w:r w:rsidR="00C75DC2">
        <w:rPr>
          <w:rFonts w:ascii="Arial" w:hAnsi="Arial" w:cs="Arial"/>
          <w:b/>
          <w:noProof/>
          <w:lang w:val="es-CO" w:eastAsia="es-MX"/>
        </w:rPr>
        <w:t>3</w:t>
      </w:r>
      <w:r w:rsidRPr="00453527">
        <w:rPr>
          <w:rFonts w:ascii="Arial" w:hAnsi="Arial" w:cs="Arial"/>
          <w:b/>
          <w:noProof/>
          <w:lang w:val="es-CO" w:eastAsia="es-MX"/>
        </w:rPr>
        <w:t>.</w:t>
      </w:r>
      <w:r w:rsidRPr="00453527">
        <w:rPr>
          <w:rFonts w:ascii="Arial" w:hAnsi="Arial" w:cs="Arial"/>
          <w:b/>
          <w:noProof/>
          <w:lang w:eastAsia="es-MX"/>
        </w:rPr>
        <w:t>T</w:t>
      </w:r>
      <w:r w:rsidRPr="00453527">
        <w:rPr>
          <w:rFonts w:ascii="Arial" w:hAnsi="Arial" w:cs="Arial"/>
          <w:b/>
          <w:noProof/>
          <w:lang w:val="es-CO" w:eastAsia="es-MX"/>
        </w:rPr>
        <w:t xml:space="preserve">endencia de las consultas de especialidades médicas </w:t>
      </w:r>
    </w:p>
    <w:p w:rsidR="00FA5B99" w:rsidRPr="00453527" w:rsidRDefault="00FA5B99" w:rsidP="00FA5B99">
      <w:pPr>
        <w:spacing w:after="0" w:line="240" w:lineRule="auto"/>
        <w:jc w:val="center"/>
        <w:rPr>
          <w:rFonts w:ascii="Arial" w:hAnsi="Arial" w:cs="Arial"/>
          <w:b/>
          <w:noProof/>
          <w:lang w:val="es-CO" w:eastAsia="es-MX"/>
        </w:rPr>
      </w:pPr>
      <w:r w:rsidRPr="00453527">
        <w:rPr>
          <w:rFonts w:ascii="Arial" w:hAnsi="Arial" w:cs="Arial"/>
          <w:b/>
          <w:noProof/>
          <w:lang w:val="es-CO" w:eastAsia="es-MX"/>
        </w:rPr>
        <w:t>en la Secretaria de Salud. México 2006-2015.</w:t>
      </w:r>
    </w:p>
    <w:p w:rsidR="00FA5B99" w:rsidRPr="00453527" w:rsidRDefault="00FA5B99" w:rsidP="00FA5B99">
      <w:pPr>
        <w:spacing w:after="0" w:line="276" w:lineRule="auto"/>
        <w:jc w:val="center"/>
        <w:rPr>
          <w:rFonts w:ascii="Arial" w:hAnsi="Arial" w:cs="Arial"/>
          <w:noProof/>
          <w:lang w:eastAsia="es-MX"/>
        </w:rPr>
      </w:pPr>
      <w:r w:rsidRPr="00453527">
        <w:rPr>
          <w:rFonts w:ascii="Arial" w:hAnsi="Arial" w:cs="Arial"/>
          <w:noProof/>
          <w:lang w:eastAsia="es-MX"/>
        </w:rPr>
        <w:drawing>
          <wp:inline distT="0" distB="0" distL="0" distR="0" wp14:anchorId="2193C3A8" wp14:editId="3CC5BE40">
            <wp:extent cx="3664662" cy="2663301"/>
            <wp:effectExtent l="0" t="0" r="0" b="381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srcRect l="11731" t="35075" r="24263" b="13799"/>
                    <a:stretch/>
                  </pic:blipFill>
                  <pic:spPr bwMode="auto">
                    <a:xfrm>
                      <a:off x="0" y="0"/>
                      <a:ext cx="3683188" cy="2676765"/>
                    </a:xfrm>
                    <a:prstGeom prst="rect">
                      <a:avLst/>
                    </a:prstGeom>
                    <a:ln>
                      <a:noFill/>
                    </a:ln>
                    <a:extLst>
                      <a:ext uri="{53640926-AAD7-44D8-BBD7-CCE9431645EC}">
                        <a14:shadowObscured xmlns:a14="http://schemas.microsoft.com/office/drawing/2010/main"/>
                      </a:ext>
                    </a:extLst>
                  </pic:spPr>
                </pic:pic>
              </a:graphicData>
            </a:graphic>
          </wp:inline>
        </w:drawing>
      </w:r>
    </w:p>
    <w:p w:rsidR="00FA5B99" w:rsidRPr="00453527" w:rsidRDefault="00FA5B99" w:rsidP="00FA5B99">
      <w:pPr>
        <w:spacing w:after="0" w:line="276" w:lineRule="auto"/>
        <w:jc w:val="center"/>
        <w:rPr>
          <w:rFonts w:ascii="Arial" w:hAnsi="Arial" w:cs="Arial"/>
        </w:rPr>
      </w:pPr>
      <w:r w:rsidRPr="00453527">
        <w:rPr>
          <w:rFonts w:ascii="Arial" w:hAnsi="Arial" w:cs="Arial"/>
          <w:b/>
          <w:noProof/>
          <w:sz w:val="18"/>
          <w:lang w:eastAsia="es-MX"/>
        </w:rPr>
        <w:t>Fuente:</w:t>
      </w:r>
      <w:r w:rsidRPr="00453527">
        <w:rPr>
          <w:rFonts w:ascii="Arial" w:hAnsi="Arial" w:cs="Arial"/>
          <w:noProof/>
          <w:sz w:val="18"/>
          <w:lang w:eastAsia="es-MX"/>
        </w:rPr>
        <w:t xml:space="preserve"> Gráfico obtenido del INSP (2017, p118).</w:t>
      </w:r>
    </w:p>
    <w:p w:rsidR="00D50118" w:rsidRDefault="00D50118" w:rsidP="008C4960">
      <w:pPr>
        <w:spacing w:after="0" w:line="240" w:lineRule="auto"/>
        <w:jc w:val="both"/>
        <w:rPr>
          <w:rFonts w:ascii="Arial" w:hAnsi="Arial" w:cs="Arial"/>
        </w:rPr>
      </w:pPr>
    </w:p>
    <w:p w:rsidR="00FA5B99" w:rsidRPr="00850DEF" w:rsidRDefault="00FA5B99" w:rsidP="00FA5B99">
      <w:pPr>
        <w:spacing w:after="0" w:line="360" w:lineRule="auto"/>
        <w:jc w:val="both"/>
        <w:rPr>
          <w:rFonts w:ascii="Arial" w:hAnsi="Arial" w:cs="Arial"/>
        </w:rPr>
      </w:pPr>
      <w:r w:rsidRPr="00850DEF">
        <w:rPr>
          <w:rFonts w:ascii="Arial" w:hAnsi="Arial" w:cs="Arial"/>
        </w:rPr>
        <w:lastRenderedPageBreak/>
        <w:t xml:space="preserve">Conforme a la Asociación Nacional de Universidades e Instituciones de Educación Superior (ANUIES) en el 2018 la especialidad en Medicina del Enfermo Adulto en Estado Crítico se ofertó a nivel nacional en 12 Instituciones de Educación Superior (IES), de las cuales 10 son de régimen público y 2 privadas (Cuadro </w:t>
      </w:r>
      <w:r>
        <w:rPr>
          <w:rFonts w:ascii="Arial" w:hAnsi="Arial" w:cs="Arial"/>
        </w:rPr>
        <w:t>1</w:t>
      </w:r>
      <w:r w:rsidR="008F5CFB">
        <w:rPr>
          <w:rFonts w:ascii="Arial" w:hAnsi="Arial" w:cs="Arial"/>
        </w:rPr>
        <w:t>3</w:t>
      </w:r>
      <w:r w:rsidRPr="00850DEF">
        <w:rPr>
          <w:rFonts w:ascii="Arial" w:hAnsi="Arial" w:cs="Arial"/>
        </w:rPr>
        <w:t xml:space="preserve"> y </w:t>
      </w:r>
      <w:r w:rsidR="00C75DC2">
        <w:rPr>
          <w:rFonts w:ascii="Arial" w:hAnsi="Arial" w:cs="Arial"/>
        </w:rPr>
        <w:t>1</w:t>
      </w:r>
      <w:r w:rsidR="008F5CFB">
        <w:rPr>
          <w:rFonts w:ascii="Arial" w:hAnsi="Arial" w:cs="Arial"/>
        </w:rPr>
        <w:t>4</w:t>
      </w:r>
      <w:r w:rsidRPr="00850DEF">
        <w:rPr>
          <w:rFonts w:ascii="Arial" w:hAnsi="Arial" w:cs="Arial"/>
        </w:rPr>
        <w:t xml:space="preserve">). </w:t>
      </w:r>
    </w:p>
    <w:p w:rsidR="00FA5B99" w:rsidRPr="00704E13" w:rsidRDefault="00FA5B99" w:rsidP="00FA5B99">
      <w:pPr>
        <w:spacing w:after="0" w:line="276" w:lineRule="auto"/>
        <w:jc w:val="both"/>
        <w:rPr>
          <w:rFonts w:ascii="Arial" w:hAnsi="Arial" w:cs="Arial"/>
        </w:rPr>
      </w:pPr>
    </w:p>
    <w:p w:rsidR="00FA5B99" w:rsidRPr="00704E13" w:rsidRDefault="00FA5B99" w:rsidP="00FA5B99">
      <w:pPr>
        <w:spacing w:after="0" w:line="240" w:lineRule="auto"/>
        <w:jc w:val="center"/>
        <w:rPr>
          <w:rFonts w:ascii="Arial" w:hAnsi="Arial" w:cs="Arial"/>
          <w:b/>
          <w:noProof/>
          <w:lang w:val="es-CO" w:eastAsia="es-MX"/>
        </w:rPr>
      </w:pPr>
      <w:r w:rsidRPr="00704E13">
        <w:rPr>
          <w:rFonts w:ascii="Arial" w:hAnsi="Arial" w:cs="Arial"/>
          <w:b/>
          <w:noProof/>
          <w:lang w:val="es-CO" w:eastAsia="es-MX"/>
        </w:rPr>
        <w:t>Cuadro 1</w:t>
      </w:r>
      <w:r w:rsidR="008F5CFB">
        <w:rPr>
          <w:rFonts w:ascii="Arial" w:hAnsi="Arial" w:cs="Arial"/>
          <w:b/>
          <w:noProof/>
          <w:lang w:val="es-CO" w:eastAsia="es-MX"/>
        </w:rPr>
        <w:t>3</w:t>
      </w:r>
      <w:r w:rsidRPr="00704E13">
        <w:rPr>
          <w:rFonts w:ascii="Arial" w:hAnsi="Arial" w:cs="Arial"/>
          <w:b/>
          <w:noProof/>
          <w:lang w:val="es-CO" w:eastAsia="es-MX"/>
        </w:rPr>
        <w:t xml:space="preserve">. Instituciones “Públicas” a nivel nacional que ofrecen la </w:t>
      </w:r>
    </w:p>
    <w:p w:rsidR="00FA5B99" w:rsidRPr="00704E13" w:rsidRDefault="00FA5B99" w:rsidP="00FA5B99">
      <w:pPr>
        <w:spacing w:after="0" w:line="240" w:lineRule="auto"/>
        <w:jc w:val="center"/>
        <w:rPr>
          <w:rFonts w:ascii="Arial" w:hAnsi="Arial" w:cs="Arial"/>
          <w:b/>
          <w:noProof/>
          <w:lang w:val="es-CO" w:eastAsia="es-MX"/>
        </w:rPr>
      </w:pPr>
      <w:r w:rsidRPr="00704E13">
        <w:rPr>
          <w:rFonts w:ascii="Arial" w:hAnsi="Arial" w:cs="Arial"/>
          <w:b/>
          <w:noProof/>
          <w:lang w:val="es-CO" w:eastAsia="es-MX"/>
        </w:rPr>
        <w:t xml:space="preserve">Esp. en Medicina del Enfermo Adulto en Estado Crítico, ANUIES 2018. </w:t>
      </w:r>
    </w:p>
    <w:p w:rsidR="00FA5B99" w:rsidRPr="00704E13" w:rsidRDefault="00FA5B99" w:rsidP="00FA5B99">
      <w:pPr>
        <w:spacing w:after="0" w:line="276" w:lineRule="auto"/>
        <w:rPr>
          <w:rFonts w:ascii="Arial" w:hAnsi="Arial" w:cs="Arial"/>
          <w:sz w:val="14"/>
        </w:rPr>
      </w:pPr>
    </w:p>
    <w:tbl>
      <w:tblPr>
        <w:tblStyle w:val="Tablaconcuadrcula"/>
        <w:tblW w:w="8221" w:type="dxa"/>
        <w:jc w:val="center"/>
        <w:tblLook w:val="04A0" w:firstRow="1" w:lastRow="0" w:firstColumn="1" w:lastColumn="0" w:noHBand="0" w:noVBand="1"/>
      </w:tblPr>
      <w:tblGrid>
        <w:gridCol w:w="3969"/>
        <w:gridCol w:w="1417"/>
        <w:gridCol w:w="2835"/>
      </w:tblGrid>
      <w:tr w:rsidR="00FA5B99" w:rsidRPr="00704E13" w:rsidTr="00FA5B99">
        <w:trPr>
          <w:jc w:val="center"/>
        </w:trPr>
        <w:tc>
          <w:tcPr>
            <w:tcW w:w="3969"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szCs w:val="20"/>
              </w:rPr>
            </w:pPr>
            <w:r w:rsidRPr="00704E13">
              <w:rPr>
                <w:rFonts w:ascii="Arial" w:hAnsi="Arial" w:cs="Arial"/>
                <w:b/>
                <w:sz w:val="20"/>
                <w:szCs w:val="20"/>
              </w:rPr>
              <w:t>IES</w:t>
            </w:r>
          </w:p>
        </w:tc>
        <w:tc>
          <w:tcPr>
            <w:tcW w:w="1417"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szCs w:val="20"/>
              </w:rPr>
            </w:pPr>
            <w:r w:rsidRPr="00704E13">
              <w:rPr>
                <w:rFonts w:ascii="Arial" w:hAnsi="Arial" w:cs="Arial"/>
                <w:b/>
                <w:sz w:val="20"/>
                <w:szCs w:val="20"/>
              </w:rPr>
              <w:t>Estado</w:t>
            </w:r>
          </w:p>
        </w:tc>
        <w:tc>
          <w:tcPr>
            <w:tcW w:w="2835"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szCs w:val="20"/>
              </w:rPr>
            </w:pPr>
            <w:r w:rsidRPr="00704E13">
              <w:rPr>
                <w:rFonts w:ascii="Arial" w:hAnsi="Arial" w:cs="Arial"/>
                <w:b/>
                <w:sz w:val="20"/>
                <w:szCs w:val="20"/>
              </w:rPr>
              <w:t>Programa</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 Chihuahua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Chihuahua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Instituto Nacional de Salud Federico Gómez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Ciudad de México</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de Guanajuato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Guanajuato</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de Guadalajara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Jalisco</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del Estado de México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Estado de México</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 Nuevo León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Nuevo León</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Benemérita Universidad Autónoma de Puebla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Puebla</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 Sinaloa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Sinaloa</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 Tamaulipas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Tamaulipas</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rPr>
                <w:rFonts w:ascii="Arial" w:hAnsi="Arial" w:cs="Arial"/>
                <w:sz w:val="20"/>
                <w:szCs w:val="20"/>
              </w:rPr>
            </w:pPr>
            <w:r w:rsidRPr="00704E13">
              <w:rPr>
                <w:rFonts w:ascii="Arial" w:hAnsi="Arial" w:cs="Arial"/>
                <w:sz w:val="20"/>
                <w:szCs w:val="20"/>
              </w:rPr>
              <w:t>Universidad Autónoma de Yucatán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spacing w:line="276" w:lineRule="auto"/>
              <w:jc w:val="center"/>
              <w:rPr>
                <w:rFonts w:ascii="Arial" w:hAnsi="Arial" w:cs="Arial"/>
                <w:sz w:val="20"/>
                <w:szCs w:val="20"/>
              </w:rPr>
            </w:pPr>
            <w:r w:rsidRPr="00704E13">
              <w:rPr>
                <w:rFonts w:ascii="Arial" w:hAnsi="Arial" w:cs="Arial"/>
                <w:sz w:val="20"/>
                <w:szCs w:val="20"/>
              </w:rPr>
              <w:t>Yucatán</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FA5B99" w:rsidRPr="00704E13" w:rsidRDefault="00FA5B99" w:rsidP="00FA5B99">
            <w:pPr>
              <w:jc w:val="center"/>
            </w:pPr>
            <w:r w:rsidRPr="00704E13">
              <w:rPr>
                <w:rFonts w:ascii="Arial" w:hAnsi="Arial" w:cs="Arial"/>
                <w:sz w:val="20"/>
                <w:szCs w:val="20"/>
              </w:rPr>
              <w:t>Esp. en Medicina del Enfermo en Estado Crítico</w:t>
            </w:r>
          </w:p>
        </w:tc>
      </w:tr>
    </w:tbl>
    <w:p w:rsidR="00FA5B99" w:rsidRPr="00704E13" w:rsidRDefault="00FA5B99" w:rsidP="00FA5B99">
      <w:pPr>
        <w:tabs>
          <w:tab w:val="left" w:pos="1590"/>
        </w:tabs>
        <w:spacing w:after="0" w:line="276" w:lineRule="auto"/>
        <w:rPr>
          <w:rFonts w:ascii="Arial" w:hAnsi="Arial" w:cs="Arial"/>
          <w:b/>
          <w:sz w:val="14"/>
          <w:lang w:val="es-CO"/>
        </w:rPr>
      </w:pPr>
    </w:p>
    <w:p w:rsidR="00FA5B99" w:rsidRPr="00704E13" w:rsidRDefault="00FA5B99" w:rsidP="00FA5B99">
      <w:pPr>
        <w:tabs>
          <w:tab w:val="left" w:pos="1590"/>
        </w:tabs>
        <w:spacing w:after="0" w:line="276" w:lineRule="auto"/>
        <w:jc w:val="center"/>
        <w:rPr>
          <w:rFonts w:ascii="Arial" w:hAnsi="Arial" w:cs="Arial"/>
          <w:sz w:val="28"/>
        </w:rPr>
      </w:pPr>
      <w:r w:rsidRPr="00704E13">
        <w:rPr>
          <w:rFonts w:ascii="Arial" w:hAnsi="Arial" w:cs="Arial"/>
          <w:b/>
          <w:sz w:val="18"/>
          <w:lang w:val="es-CO"/>
        </w:rPr>
        <w:t>Fuente:</w:t>
      </w:r>
      <w:r w:rsidRPr="00704E13">
        <w:rPr>
          <w:rFonts w:ascii="Arial" w:hAnsi="Arial" w:cs="Arial"/>
          <w:sz w:val="18"/>
          <w:lang w:val="es-CO"/>
        </w:rPr>
        <w:t xml:space="preserve"> Elaboración propia a partir del anuario de educación superior-posgrado 2018, ANUIES.</w:t>
      </w:r>
    </w:p>
    <w:p w:rsidR="00FA5B99" w:rsidRPr="00704E13" w:rsidRDefault="00FA5B99" w:rsidP="00FA5B99">
      <w:pPr>
        <w:spacing w:after="0" w:line="276" w:lineRule="auto"/>
        <w:jc w:val="center"/>
        <w:rPr>
          <w:rFonts w:ascii="Arial" w:hAnsi="Arial" w:cs="Arial"/>
          <w:b/>
          <w:noProof/>
          <w:sz w:val="18"/>
          <w:lang w:val="es-CO" w:eastAsia="es-MX"/>
        </w:rPr>
      </w:pPr>
    </w:p>
    <w:p w:rsidR="00FA5B99" w:rsidRPr="00704E13" w:rsidRDefault="00FA5B99" w:rsidP="00FA5B99">
      <w:pPr>
        <w:spacing w:after="0" w:line="276" w:lineRule="auto"/>
        <w:jc w:val="center"/>
        <w:rPr>
          <w:rFonts w:ascii="Arial" w:hAnsi="Arial" w:cs="Arial"/>
          <w:b/>
          <w:noProof/>
          <w:sz w:val="18"/>
          <w:lang w:val="es-CO" w:eastAsia="es-MX"/>
        </w:rPr>
      </w:pPr>
    </w:p>
    <w:p w:rsidR="00FA5B99" w:rsidRPr="00704E13" w:rsidRDefault="00FA5B99" w:rsidP="00FA5B99">
      <w:pPr>
        <w:spacing w:after="0" w:line="240" w:lineRule="auto"/>
        <w:jc w:val="center"/>
        <w:rPr>
          <w:rFonts w:ascii="Arial" w:hAnsi="Arial" w:cs="Arial"/>
          <w:b/>
          <w:noProof/>
          <w:lang w:val="es-CO" w:eastAsia="es-MX"/>
        </w:rPr>
      </w:pPr>
      <w:r w:rsidRPr="00704E13">
        <w:rPr>
          <w:rFonts w:ascii="Arial" w:hAnsi="Arial" w:cs="Arial"/>
          <w:b/>
          <w:noProof/>
          <w:lang w:val="es-CO" w:eastAsia="es-MX"/>
        </w:rPr>
        <w:t xml:space="preserve">Cuadro </w:t>
      </w:r>
      <w:r w:rsidR="00C75DC2">
        <w:rPr>
          <w:rFonts w:ascii="Arial" w:hAnsi="Arial" w:cs="Arial"/>
          <w:b/>
          <w:noProof/>
          <w:lang w:val="es-CO" w:eastAsia="es-MX"/>
        </w:rPr>
        <w:t>1</w:t>
      </w:r>
      <w:r w:rsidR="008F5CFB">
        <w:rPr>
          <w:rFonts w:ascii="Arial" w:hAnsi="Arial" w:cs="Arial"/>
          <w:b/>
          <w:noProof/>
          <w:lang w:val="es-CO" w:eastAsia="es-MX"/>
        </w:rPr>
        <w:t>4</w:t>
      </w:r>
      <w:r w:rsidRPr="00704E13">
        <w:rPr>
          <w:rFonts w:ascii="Arial" w:hAnsi="Arial" w:cs="Arial"/>
          <w:b/>
          <w:noProof/>
          <w:lang w:val="es-CO" w:eastAsia="es-MX"/>
        </w:rPr>
        <w:t xml:space="preserve">. Instituciones “Privadas” a nivel nacional que ofrecen la </w:t>
      </w:r>
    </w:p>
    <w:p w:rsidR="00FA5B99" w:rsidRPr="00704E13" w:rsidRDefault="00FA5B99" w:rsidP="00FA5B99">
      <w:pPr>
        <w:spacing w:after="0" w:line="240" w:lineRule="auto"/>
        <w:jc w:val="center"/>
        <w:rPr>
          <w:rFonts w:ascii="Arial" w:hAnsi="Arial" w:cs="Arial"/>
          <w:b/>
          <w:noProof/>
          <w:sz w:val="18"/>
          <w:lang w:val="es-CO" w:eastAsia="es-MX"/>
        </w:rPr>
      </w:pPr>
      <w:r w:rsidRPr="00704E13">
        <w:rPr>
          <w:rFonts w:ascii="Arial" w:hAnsi="Arial" w:cs="Arial"/>
          <w:b/>
          <w:noProof/>
          <w:lang w:val="es-CO" w:eastAsia="es-MX"/>
        </w:rPr>
        <w:t xml:space="preserve">Esp. en Medicina del Enfermo Adulto en Estado Crítico, ANUIES 2018. </w:t>
      </w:r>
    </w:p>
    <w:p w:rsidR="00FA5B99" w:rsidRPr="00704E13" w:rsidRDefault="00FA5B99" w:rsidP="00FA5B99">
      <w:pPr>
        <w:spacing w:after="0" w:line="276" w:lineRule="auto"/>
        <w:rPr>
          <w:rFonts w:ascii="Arial" w:hAnsi="Arial" w:cs="Arial"/>
          <w:sz w:val="14"/>
        </w:rPr>
      </w:pPr>
    </w:p>
    <w:tbl>
      <w:tblPr>
        <w:tblStyle w:val="Tablaconcuadrcula"/>
        <w:tblW w:w="8221" w:type="dxa"/>
        <w:jc w:val="center"/>
        <w:tblLook w:val="04A0" w:firstRow="1" w:lastRow="0" w:firstColumn="1" w:lastColumn="0" w:noHBand="0" w:noVBand="1"/>
      </w:tblPr>
      <w:tblGrid>
        <w:gridCol w:w="3969"/>
        <w:gridCol w:w="1417"/>
        <w:gridCol w:w="2835"/>
      </w:tblGrid>
      <w:tr w:rsidR="00FA5B99" w:rsidRPr="00704E13" w:rsidTr="00FA5B99">
        <w:trPr>
          <w:jc w:val="center"/>
        </w:trPr>
        <w:tc>
          <w:tcPr>
            <w:tcW w:w="3969"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rPr>
            </w:pPr>
            <w:r w:rsidRPr="00704E13">
              <w:rPr>
                <w:rFonts w:ascii="Arial" w:hAnsi="Arial" w:cs="Arial"/>
                <w:b/>
                <w:sz w:val="20"/>
              </w:rPr>
              <w:t>IES</w:t>
            </w:r>
          </w:p>
        </w:tc>
        <w:tc>
          <w:tcPr>
            <w:tcW w:w="1417"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rPr>
            </w:pPr>
            <w:r w:rsidRPr="00704E13">
              <w:rPr>
                <w:rFonts w:ascii="Arial" w:hAnsi="Arial" w:cs="Arial"/>
                <w:b/>
                <w:sz w:val="20"/>
              </w:rPr>
              <w:t>Estado</w:t>
            </w:r>
          </w:p>
        </w:tc>
        <w:tc>
          <w:tcPr>
            <w:tcW w:w="2835" w:type="dxa"/>
            <w:tcBorders>
              <w:bottom w:val="single" w:sz="4" w:space="0" w:color="auto"/>
            </w:tcBorders>
            <w:shd w:val="clear" w:color="auto" w:fill="D9D9D9" w:themeFill="background1" w:themeFillShade="D9"/>
            <w:vAlign w:val="center"/>
          </w:tcPr>
          <w:p w:rsidR="00FA5B99" w:rsidRPr="00704E13" w:rsidRDefault="00FA5B99" w:rsidP="00FA5B99">
            <w:pPr>
              <w:spacing w:line="276" w:lineRule="auto"/>
              <w:jc w:val="center"/>
              <w:rPr>
                <w:rFonts w:ascii="Arial" w:hAnsi="Arial" w:cs="Arial"/>
                <w:b/>
                <w:sz w:val="20"/>
              </w:rPr>
            </w:pPr>
            <w:r w:rsidRPr="00704E13">
              <w:rPr>
                <w:rFonts w:ascii="Arial" w:hAnsi="Arial" w:cs="Arial"/>
                <w:b/>
                <w:sz w:val="20"/>
              </w:rPr>
              <w:t>Programa</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rPr>
                <w:rFonts w:ascii="Arial" w:eastAsia="Times New Roman" w:hAnsi="Arial" w:cs="Arial"/>
                <w:sz w:val="20"/>
                <w:szCs w:val="16"/>
                <w:lang w:eastAsia="es-MX"/>
              </w:rPr>
            </w:pPr>
            <w:r w:rsidRPr="00704E13">
              <w:rPr>
                <w:rFonts w:ascii="Arial" w:eastAsia="Times New Roman" w:hAnsi="Arial" w:cs="Arial"/>
                <w:sz w:val="20"/>
                <w:szCs w:val="16"/>
                <w:lang w:eastAsia="es-MX"/>
              </w:rPr>
              <w:t xml:space="preserve">Universidad La Salle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jc w:val="center"/>
              <w:rPr>
                <w:rFonts w:ascii="Arial" w:eastAsia="Times New Roman" w:hAnsi="Arial" w:cs="Arial"/>
                <w:sz w:val="20"/>
                <w:szCs w:val="16"/>
                <w:lang w:eastAsia="es-MX"/>
              </w:rPr>
            </w:pPr>
            <w:r w:rsidRPr="00704E13">
              <w:rPr>
                <w:rFonts w:ascii="Arial" w:eastAsia="Times New Roman" w:hAnsi="Arial" w:cs="Arial"/>
                <w:sz w:val="20"/>
                <w:szCs w:val="16"/>
                <w:lang w:eastAsia="es-MX"/>
              </w:rPr>
              <w:t>Ciudad de México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jc w:val="center"/>
              <w:rPr>
                <w:rFonts w:ascii="Arial" w:eastAsia="Times New Roman" w:hAnsi="Arial" w:cs="Arial"/>
                <w:sz w:val="20"/>
                <w:szCs w:val="16"/>
                <w:lang w:eastAsia="es-MX"/>
              </w:rPr>
            </w:pPr>
            <w:r w:rsidRPr="00704E13">
              <w:rPr>
                <w:rFonts w:ascii="Arial" w:eastAsia="Times New Roman" w:hAnsi="Arial" w:cs="Arial"/>
                <w:sz w:val="20"/>
                <w:szCs w:val="16"/>
                <w:lang w:eastAsia="es-MX"/>
              </w:rPr>
              <w:t>Esp. en Medicina del Enfermo Adulto en Estado Crítico</w:t>
            </w:r>
          </w:p>
        </w:tc>
      </w:tr>
      <w:tr w:rsidR="00FA5B99" w:rsidRPr="00704E13" w:rsidTr="00FA5B99">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rPr>
                <w:rFonts w:ascii="Arial" w:eastAsia="Times New Roman" w:hAnsi="Arial" w:cs="Arial"/>
                <w:sz w:val="20"/>
                <w:szCs w:val="16"/>
                <w:lang w:eastAsia="es-MX"/>
              </w:rPr>
            </w:pPr>
            <w:r w:rsidRPr="00704E13">
              <w:rPr>
                <w:rFonts w:ascii="Arial" w:eastAsia="Times New Roman" w:hAnsi="Arial" w:cs="Arial"/>
                <w:sz w:val="20"/>
                <w:szCs w:val="16"/>
                <w:lang w:eastAsia="es-MX"/>
              </w:rPr>
              <w:t>Instituto Tecnológico y de Estudios Superiores de Monterrey</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jc w:val="center"/>
              <w:rPr>
                <w:rFonts w:ascii="Arial" w:eastAsia="Times New Roman" w:hAnsi="Arial" w:cs="Arial"/>
                <w:sz w:val="20"/>
                <w:szCs w:val="16"/>
                <w:lang w:eastAsia="es-MX"/>
              </w:rPr>
            </w:pPr>
            <w:r w:rsidRPr="00704E13">
              <w:rPr>
                <w:rFonts w:ascii="Arial" w:eastAsia="Times New Roman" w:hAnsi="Arial" w:cs="Arial"/>
                <w:sz w:val="20"/>
                <w:szCs w:val="16"/>
                <w:lang w:eastAsia="es-MX"/>
              </w:rPr>
              <w:t>Nuevo León</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704E13" w:rsidRDefault="00FA5B99" w:rsidP="00FA5B99">
            <w:pPr>
              <w:jc w:val="center"/>
              <w:rPr>
                <w:rFonts w:ascii="Arial" w:eastAsia="Times New Roman" w:hAnsi="Arial" w:cs="Arial"/>
                <w:sz w:val="20"/>
                <w:szCs w:val="16"/>
                <w:lang w:eastAsia="es-MX"/>
              </w:rPr>
            </w:pPr>
            <w:r w:rsidRPr="00704E13">
              <w:rPr>
                <w:rFonts w:ascii="Arial" w:eastAsia="Times New Roman" w:hAnsi="Arial" w:cs="Arial"/>
                <w:sz w:val="20"/>
                <w:szCs w:val="16"/>
                <w:lang w:eastAsia="es-MX"/>
              </w:rPr>
              <w:t>Esp. en Medicina del Enfermo en Estado Crítico</w:t>
            </w:r>
          </w:p>
        </w:tc>
      </w:tr>
    </w:tbl>
    <w:p w:rsidR="00FA5B99" w:rsidRPr="00704E13" w:rsidRDefault="00FA5B99" w:rsidP="00FA5B99">
      <w:pPr>
        <w:tabs>
          <w:tab w:val="left" w:pos="1590"/>
        </w:tabs>
        <w:spacing w:after="0" w:line="276" w:lineRule="auto"/>
        <w:rPr>
          <w:rFonts w:ascii="Arial" w:hAnsi="Arial" w:cs="Arial"/>
          <w:b/>
          <w:sz w:val="14"/>
          <w:lang w:val="es-CO"/>
        </w:rPr>
      </w:pPr>
    </w:p>
    <w:p w:rsidR="00FA5B99" w:rsidRPr="00704E13" w:rsidRDefault="00FA5B99" w:rsidP="00FA5B99">
      <w:pPr>
        <w:tabs>
          <w:tab w:val="left" w:pos="1590"/>
        </w:tabs>
        <w:spacing w:after="0" w:line="276" w:lineRule="auto"/>
        <w:jc w:val="center"/>
        <w:rPr>
          <w:rFonts w:ascii="Arial" w:hAnsi="Arial" w:cs="Arial"/>
          <w:sz w:val="24"/>
        </w:rPr>
      </w:pPr>
      <w:r w:rsidRPr="00704E13">
        <w:rPr>
          <w:rFonts w:ascii="Arial" w:hAnsi="Arial" w:cs="Arial"/>
          <w:b/>
          <w:sz w:val="18"/>
          <w:lang w:val="es-CO"/>
        </w:rPr>
        <w:t>Fuente:</w:t>
      </w:r>
      <w:r w:rsidRPr="00704E13">
        <w:rPr>
          <w:rFonts w:ascii="Arial" w:hAnsi="Arial" w:cs="Arial"/>
          <w:sz w:val="18"/>
          <w:lang w:val="es-CO"/>
        </w:rPr>
        <w:t xml:space="preserve"> Elaboración propia a partir del anuario de educación superior-posgrado 2018, ANUIES.</w:t>
      </w:r>
    </w:p>
    <w:p w:rsidR="00FA5B99" w:rsidRDefault="00FA5B99" w:rsidP="00FA5B99">
      <w:pPr>
        <w:spacing w:after="0" w:line="276" w:lineRule="auto"/>
        <w:jc w:val="both"/>
        <w:rPr>
          <w:rFonts w:ascii="Arial" w:hAnsi="Arial" w:cs="Arial"/>
        </w:rPr>
      </w:pPr>
    </w:p>
    <w:p w:rsidR="00FA5B99" w:rsidRDefault="00FA5B99" w:rsidP="00FA5B99">
      <w:pPr>
        <w:spacing w:after="0" w:line="276" w:lineRule="auto"/>
        <w:jc w:val="both"/>
        <w:rPr>
          <w:rFonts w:ascii="Arial" w:hAnsi="Arial" w:cs="Arial"/>
          <w:lang w:val="es-CO"/>
        </w:rPr>
      </w:pPr>
    </w:p>
    <w:p w:rsidR="00FA5B99" w:rsidRPr="004D0FF6" w:rsidRDefault="00FA5B99" w:rsidP="00FA5B99">
      <w:pPr>
        <w:spacing w:after="0" w:line="360" w:lineRule="auto"/>
        <w:jc w:val="both"/>
        <w:rPr>
          <w:rFonts w:ascii="Arial" w:hAnsi="Arial" w:cs="Arial"/>
          <w:lang w:val="es-CO"/>
        </w:rPr>
      </w:pPr>
      <w:r w:rsidRPr="004D0FF6">
        <w:rPr>
          <w:rFonts w:ascii="Arial" w:hAnsi="Arial" w:cs="Arial"/>
          <w:lang w:val="es-CO"/>
        </w:rPr>
        <w:t xml:space="preserve">Respecto a la evolución de la matrícula </w:t>
      </w:r>
      <w:r>
        <w:rPr>
          <w:rFonts w:ascii="Arial" w:hAnsi="Arial" w:cs="Arial"/>
          <w:lang w:val="es-CO"/>
        </w:rPr>
        <w:t xml:space="preserve">a nivel nacional, en el periodo 2014 al 2018 </w:t>
      </w:r>
      <w:r w:rsidRPr="004D0FF6">
        <w:rPr>
          <w:rFonts w:ascii="Arial" w:hAnsi="Arial" w:cs="Arial"/>
          <w:lang w:val="es-CO"/>
        </w:rPr>
        <w:t>se p</w:t>
      </w:r>
      <w:r>
        <w:rPr>
          <w:rFonts w:ascii="Arial" w:hAnsi="Arial" w:cs="Arial"/>
          <w:lang w:val="es-CO"/>
        </w:rPr>
        <w:t xml:space="preserve">rodujo un incremento anual </w:t>
      </w:r>
      <w:r w:rsidRPr="00EF7A17">
        <w:rPr>
          <w:rFonts w:ascii="Arial" w:hAnsi="Arial" w:cs="Arial"/>
          <w:lang w:val="es-CO"/>
        </w:rPr>
        <w:t xml:space="preserve">constante </w:t>
      </w:r>
      <w:r>
        <w:rPr>
          <w:rFonts w:ascii="Arial" w:hAnsi="Arial" w:cs="Arial"/>
          <w:lang w:val="es-CO"/>
        </w:rPr>
        <w:t xml:space="preserve">a partir del 2015, lo que </w:t>
      </w:r>
      <w:r w:rsidRPr="004D0FF6">
        <w:rPr>
          <w:rFonts w:ascii="Arial" w:hAnsi="Arial" w:cs="Arial"/>
          <w:lang w:val="es-CO"/>
        </w:rPr>
        <w:t>represent</w:t>
      </w:r>
      <w:r>
        <w:rPr>
          <w:rFonts w:ascii="Arial" w:hAnsi="Arial" w:cs="Arial"/>
          <w:lang w:val="es-CO"/>
        </w:rPr>
        <w:t xml:space="preserve">ó </w:t>
      </w:r>
      <w:r w:rsidRPr="004D0FF6">
        <w:rPr>
          <w:rFonts w:ascii="Arial" w:hAnsi="Arial" w:cs="Arial"/>
          <w:lang w:val="es-CO"/>
        </w:rPr>
        <w:t>una tasa de crecimiento</w:t>
      </w:r>
      <w:r>
        <w:rPr>
          <w:rFonts w:ascii="Arial" w:hAnsi="Arial" w:cs="Arial"/>
          <w:lang w:val="es-CO"/>
        </w:rPr>
        <w:t xml:space="preserve"> general</w:t>
      </w:r>
      <w:r w:rsidRPr="004D0FF6">
        <w:rPr>
          <w:rFonts w:ascii="Arial" w:hAnsi="Arial" w:cs="Arial"/>
          <w:lang w:val="es-CO"/>
        </w:rPr>
        <w:t xml:space="preserve"> del 11.78% (Gráfic</w:t>
      </w:r>
      <w:r w:rsidR="006E1936">
        <w:rPr>
          <w:rFonts w:ascii="Arial" w:hAnsi="Arial" w:cs="Arial"/>
          <w:lang w:val="es-CO"/>
        </w:rPr>
        <w:t>a 14</w:t>
      </w:r>
      <w:r w:rsidRPr="004D0FF6">
        <w:rPr>
          <w:rFonts w:ascii="Arial" w:hAnsi="Arial" w:cs="Arial"/>
          <w:lang w:val="es-CO"/>
        </w:rPr>
        <w:t>).</w:t>
      </w:r>
    </w:p>
    <w:p w:rsidR="00FA5B99" w:rsidRPr="00704E13" w:rsidRDefault="00FA5B99" w:rsidP="00FA5B99">
      <w:pPr>
        <w:tabs>
          <w:tab w:val="left" w:pos="1590"/>
        </w:tabs>
        <w:spacing w:after="0" w:line="360" w:lineRule="auto"/>
        <w:jc w:val="both"/>
        <w:rPr>
          <w:rFonts w:ascii="Arial" w:hAnsi="Arial" w:cs="Arial"/>
        </w:rPr>
      </w:pPr>
    </w:p>
    <w:p w:rsidR="00FA5B99" w:rsidRPr="004D0FF6" w:rsidRDefault="00FA5B99" w:rsidP="00FA5B99">
      <w:pPr>
        <w:spacing w:after="0" w:line="240" w:lineRule="auto"/>
        <w:jc w:val="center"/>
        <w:rPr>
          <w:rFonts w:ascii="Arial" w:hAnsi="Arial" w:cs="Arial"/>
          <w:b/>
          <w:noProof/>
          <w:lang w:val="es-CO" w:eastAsia="es-MX"/>
        </w:rPr>
      </w:pPr>
      <w:r w:rsidRPr="004D0FF6">
        <w:rPr>
          <w:rFonts w:ascii="Arial" w:hAnsi="Arial" w:cs="Arial"/>
          <w:b/>
          <w:noProof/>
          <w:lang w:val="es-CO" w:eastAsia="es-MX"/>
        </w:rPr>
        <w:t>Gráfic</w:t>
      </w:r>
      <w:r w:rsidR="00D82279">
        <w:rPr>
          <w:rFonts w:ascii="Arial" w:hAnsi="Arial" w:cs="Arial"/>
          <w:b/>
          <w:noProof/>
          <w:lang w:val="es-CO" w:eastAsia="es-MX"/>
        </w:rPr>
        <w:t>a</w:t>
      </w:r>
      <w:r w:rsidRPr="004D0FF6">
        <w:rPr>
          <w:rFonts w:ascii="Arial" w:hAnsi="Arial" w:cs="Arial"/>
          <w:b/>
          <w:noProof/>
          <w:lang w:val="es-CO" w:eastAsia="es-MX"/>
        </w:rPr>
        <w:t xml:space="preserve"> </w:t>
      </w:r>
      <w:r w:rsidR="00C75DC2">
        <w:rPr>
          <w:rFonts w:ascii="Arial" w:hAnsi="Arial" w:cs="Arial"/>
          <w:b/>
          <w:noProof/>
          <w:lang w:val="es-CO" w:eastAsia="es-MX"/>
        </w:rPr>
        <w:t>14</w:t>
      </w:r>
      <w:r w:rsidRPr="004D0FF6">
        <w:rPr>
          <w:rFonts w:ascii="Arial" w:hAnsi="Arial" w:cs="Arial"/>
          <w:b/>
          <w:noProof/>
          <w:lang w:val="es-CO" w:eastAsia="es-MX"/>
        </w:rPr>
        <w:t xml:space="preserve">. Evaluación del ingreso, matrícula y egreso de la Esp. en </w:t>
      </w:r>
    </w:p>
    <w:p w:rsidR="00FA5B99" w:rsidRPr="004D0FF6" w:rsidRDefault="00FA5B99" w:rsidP="00FA5B99">
      <w:pPr>
        <w:spacing w:after="0" w:line="240" w:lineRule="auto"/>
        <w:jc w:val="center"/>
        <w:rPr>
          <w:rFonts w:ascii="Arial" w:hAnsi="Arial" w:cs="Arial"/>
          <w:b/>
          <w:noProof/>
          <w:lang w:val="es-CO" w:eastAsia="es-MX"/>
        </w:rPr>
      </w:pPr>
      <w:r w:rsidRPr="004D0FF6">
        <w:rPr>
          <w:rFonts w:ascii="Arial" w:hAnsi="Arial" w:cs="Arial"/>
          <w:b/>
          <w:noProof/>
          <w:lang w:val="es-CO" w:eastAsia="es-MX"/>
        </w:rPr>
        <w:t>Medicina del Enfermo Adulto en Estado Crítico, nivel nacional. Periodo 2014-2018.</w:t>
      </w:r>
    </w:p>
    <w:p w:rsidR="00FA5B99" w:rsidRPr="00704E13" w:rsidRDefault="00FA5B99" w:rsidP="00FA5B99">
      <w:pPr>
        <w:spacing w:after="0" w:line="276" w:lineRule="auto"/>
        <w:jc w:val="center"/>
        <w:rPr>
          <w:rFonts w:ascii="Arial" w:hAnsi="Arial" w:cs="Arial"/>
          <w:b/>
          <w:noProof/>
          <w:sz w:val="14"/>
          <w:lang w:val="es-CO" w:eastAsia="es-MX"/>
        </w:rPr>
      </w:pPr>
    </w:p>
    <w:p w:rsidR="00FA5B99" w:rsidRPr="00704E13" w:rsidRDefault="00FA5B99" w:rsidP="00FA5B99">
      <w:pPr>
        <w:tabs>
          <w:tab w:val="left" w:pos="4935"/>
        </w:tabs>
        <w:spacing w:after="0" w:line="276" w:lineRule="auto"/>
        <w:jc w:val="center"/>
        <w:rPr>
          <w:rFonts w:ascii="Arial" w:hAnsi="Arial" w:cs="Arial"/>
          <w:noProof/>
          <w:lang w:eastAsia="es-MX"/>
        </w:rPr>
      </w:pPr>
      <w:r>
        <w:rPr>
          <w:rFonts w:ascii="Arial" w:hAnsi="Arial" w:cs="Arial"/>
          <w:noProof/>
          <w:lang w:eastAsia="es-MX"/>
        </w:rPr>
        <w:drawing>
          <wp:inline distT="0" distB="0" distL="0" distR="0" wp14:anchorId="18C8D6EB" wp14:editId="6BE9BE80">
            <wp:extent cx="4959279" cy="3088433"/>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67927" cy="3093819"/>
                    </a:xfrm>
                    <a:prstGeom prst="rect">
                      <a:avLst/>
                    </a:prstGeom>
                    <a:noFill/>
                  </pic:spPr>
                </pic:pic>
              </a:graphicData>
            </a:graphic>
          </wp:inline>
        </w:drawing>
      </w:r>
    </w:p>
    <w:p w:rsidR="00FA5B99" w:rsidRPr="00704E13" w:rsidRDefault="00FA5B99" w:rsidP="00FA5B99">
      <w:pPr>
        <w:tabs>
          <w:tab w:val="left" w:pos="4935"/>
        </w:tabs>
        <w:spacing w:after="0" w:line="276" w:lineRule="auto"/>
        <w:jc w:val="center"/>
        <w:rPr>
          <w:rFonts w:ascii="Arial" w:hAnsi="Arial" w:cs="Arial"/>
        </w:rPr>
      </w:pPr>
      <w:r w:rsidRPr="004D0FF6">
        <w:rPr>
          <w:rFonts w:ascii="Arial" w:hAnsi="Arial" w:cs="Arial"/>
          <w:b/>
          <w:sz w:val="18"/>
          <w:lang w:val="es-CO"/>
        </w:rPr>
        <w:t>Fuente:</w:t>
      </w:r>
      <w:r w:rsidRPr="004D0FF6">
        <w:rPr>
          <w:rFonts w:ascii="Arial" w:hAnsi="Arial" w:cs="Arial"/>
          <w:sz w:val="18"/>
          <w:lang w:val="es-CO"/>
        </w:rPr>
        <w:t xml:space="preserve"> Elaboración propia a partir de los anuarios de educación superior-posgrado 2014-2018, ANUIES.</w:t>
      </w:r>
    </w:p>
    <w:p w:rsidR="00FA5B99" w:rsidRDefault="00FA5B99" w:rsidP="00FA5B99">
      <w:pPr>
        <w:spacing w:after="0" w:line="276" w:lineRule="auto"/>
        <w:jc w:val="both"/>
        <w:rPr>
          <w:rFonts w:ascii="Arial" w:hAnsi="Arial" w:cs="Arial"/>
          <w:lang w:val="es-CO"/>
        </w:rPr>
      </w:pPr>
    </w:p>
    <w:p w:rsidR="00FA5B99" w:rsidRDefault="00FA5B99" w:rsidP="00FA5B99">
      <w:pPr>
        <w:spacing w:after="0" w:line="360" w:lineRule="auto"/>
        <w:jc w:val="both"/>
        <w:rPr>
          <w:rFonts w:ascii="Arial" w:hAnsi="Arial" w:cs="Arial"/>
          <w:lang w:val="es-CO"/>
        </w:rPr>
      </w:pPr>
      <w:r>
        <w:rPr>
          <w:rFonts w:ascii="Arial" w:hAnsi="Arial" w:cs="Arial"/>
          <w:lang w:val="es-CO"/>
        </w:rPr>
        <w:t xml:space="preserve">Dentro de este panorama nacional (privadas y públicas), en el 2018 la Universidad La Salle </w:t>
      </w:r>
      <w:r w:rsidRPr="004B40E2">
        <w:rPr>
          <w:rFonts w:ascii="Arial" w:hAnsi="Arial" w:cs="Arial"/>
          <w:lang w:val="es-CO"/>
        </w:rPr>
        <w:t>reportó ante ANUIES una matrícula de 11 médicos,</w:t>
      </w:r>
      <w:r>
        <w:rPr>
          <w:rFonts w:ascii="Arial" w:hAnsi="Arial" w:cs="Arial"/>
          <w:lang w:val="es-CO"/>
        </w:rPr>
        <w:t xml:space="preserve"> lo que representó el 8.59% de participación en la formación de especialistas en Medicina del Enfermo en Estado Crítico.  </w:t>
      </w:r>
    </w:p>
    <w:p w:rsidR="00FA5B99" w:rsidRDefault="00FA5B99" w:rsidP="00FA5B99">
      <w:pPr>
        <w:spacing w:after="0" w:line="360" w:lineRule="auto"/>
        <w:jc w:val="both"/>
        <w:rPr>
          <w:rFonts w:ascii="Arial" w:hAnsi="Arial" w:cs="Arial"/>
          <w:lang w:val="es-CO"/>
        </w:rPr>
      </w:pPr>
    </w:p>
    <w:p w:rsidR="00FA5B99" w:rsidRDefault="00FA5B99" w:rsidP="00FA5B99">
      <w:pPr>
        <w:spacing w:after="0" w:line="360" w:lineRule="auto"/>
        <w:jc w:val="both"/>
        <w:rPr>
          <w:rFonts w:ascii="Arial" w:hAnsi="Arial" w:cs="Arial"/>
          <w:lang w:val="es-CO"/>
        </w:rPr>
      </w:pPr>
      <w:r>
        <w:rPr>
          <w:rFonts w:ascii="Arial" w:hAnsi="Arial" w:cs="Arial"/>
          <w:lang w:val="es-CO"/>
        </w:rPr>
        <w:t xml:space="preserve">Enfocándonos en las IES con régimen privado (Cuadro </w:t>
      </w:r>
      <w:r w:rsidR="00250A8C">
        <w:rPr>
          <w:rFonts w:ascii="Arial" w:hAnsi="Arial" w:cs="Arial"/>
          <w:lang w:val="es-CO"/>
        </w:rPr>
        <w:t>14</w:t>
      </w:r>
      <w:r>
        <w:rPr>
          <w:rFonts w:ascii="Arial" w:hAnsi="Arial" w:cs="Arial"/>
          <w:lang w:val="es-CO"/>
        </w:rPr>
        <w:t xml:space="preserve">), significó el 68.75% de contribución en la formación de estos especialistas. Por lo anterior, se puede identificar que la </w:t>
      </w:r>
      <w:r w:rsidRPr="00453527">
        <w:rPr>
          <w:rFonts w:ascii="Arial" w:hAnsi="Arial" w:cs="Arial"/>
          <w:lang w:val="es-CO"/>
        </w:rPr>
        <w:t xml:space="preserve">Universidad La Salle </w:t>
      </w:r>
      <w:r>
        <w:rPr>
          <w:rFonts w:ascii="Arial" w:hAnsi="Arial" w:cs="Arial"/>
          <w:lang w:val="es-CO"/>
        </w:rPr>
        <w:t xml:space="preserve">es </w:t>
      </w:r>
      <w:r w:rsidRPr="00453527">
        <w:rPr>
          <w:rFonts w:ascii="Arial" w:hAnsi="Arial" w:cs="Arial"/>
          <w:lang w:val="es-CO"/>
        </w:rPr>
        <w:t>la institución que capt</w:t>
      </w:r>
      <w:r>
        <w:rPr>
          <w:rFonts w:ascii="Arial" w:hAnsi="Arial" w:cs="Arial"/>
          <w:lang w:val="es-CO"/>
        </w:rPr>
        <w:t>ó</w:t>
      </w:r>
      <w:r w:rsidRPr="00453527">
        <w:rPr>
          <w:rFonts w:ascii="Arial" w:hAnsi="Arial" w:cs="Arial"/>
          <w:lang w:val="es-CO"/>
        </w:rPr>
        <w:t xml:space="preserve"> el mayor número de estudiantes interesados por esta especialidad, aún a pesar de los altibajos en los datos estadísticos que reportó la ANUIES en los dos primeros años del periodo analizado (2014-2018), donde se puede percatar que en el 2015 sólo se registró un egreso, y en contraste, para el 2017 se contabiliza el mayor alcance de oferta educativa, con un ingreso de 5, una matrícula de 9 </w:t>
      </w:r>
      <w:r w:rsidR="00D82279">
        <w:rPr>
          <w:rFonts w:ascii="Arial" w:hAnsi="Arial" w:cs="Arial"/>
          <w:lang w:val="es-CO"/>
        </w:rPr>
        <w:t>y un egreso de 7 especialistas (</w:t>
      </w:r>
      <w:r w:rsidRPr="00453527">
        <w:rPr>
          <w:rFonts w:ascii="Arial" w:hAnsi="Arial" w:cs="Arial"/>
          <w:lang w:val="es-CO"/>
        </w:rPr>
        <w:t>Gráfic</w:t>
      </w:r>
      <w:r w:rsidR="00D82279">
        <w:rPr>
          <w:rFonts w:ascii="Arial" w:hAnsi="Arial" w:cs="Arial"/>
          <w:lang w:val="es-CO"/>
        </w:rPr>
        <w:t>a</w:t>
      </w:r>
      <w:r w:rsidRPr="00453527">
        <w:rPr>
          <w:rFonts w:ascii="Arial" w:hAnsi="Arial" w:cs="Arial"/>
          <w:lang w:val="es-CO"/>
        </w:rPr>
        <w:t xml:space="preserve"> </w:t>
      </w:r>
      <w:r w:rsidR="008C4960">
        <w:rPr>
          <w:rFonts w:ascii="Arial" w:hAnsi="Arial" w:cs="Arial"/>
          <w:lang w:val="es-CO"/>
        </w:rPr>
        <w:t>15</w:t>
      </w:r>
      <w:r w:rsidR="00D82279">
        <w:rPr>
          <w:rFonts w:ascii="Arial" w:hAnsi="Arial" w:cs="Arial"/>
          <w:lang w:val="es-CO"/>
        </w:rPr>
        <w:t>)</w:t>
      </w:r>
      <w:r w:rsidRPr="00453527">
        <w:rPr>
          <w:rFonts w:ascii="Arial" w:hAnsi="Arial" w:cs="Arial"/>
          <w:lang w:val="es-CO"/>
        </w:rPr>
        <w:t>, marcando desde esta perspectiva una recuperación y tendencia de crecimiento.</w:t>
      </w:r>
    </w:p>
    <w:p w:rsidR="00FA5B99" w:rsidRDefault="00FA5B99" w:rsidP="00FA5B99">
      <w:pPr>
        <w:spacing w:after="0" w:line="360" w:lineRule="auto"/>
        <w:jc w:val="both"/>
        <w:rPr>
          <w:rFonts w:ascii="Arial" w:hAnsi="Arial" w:cs="Arial"/>
          <w:lang w:val="es-CO"/>
        </w:rPr>
      </w:pPr>
    </w:p>
    <w:p w:rsidR="00FA5B99" w:rsidRPr="00453527" w:rsidRDefault="00FA5B99" w:rsidP="00FA5B99">
      <w:pPr>
        <w:spacing w:after="0" w:line="360" w:lineRule="auto"/>
        <w:jc w:val="both"/>
        <w:rPr>
          <w:rFonts w:ascii="Arial" w:hAnsi="Arial" w:cs="Arial"/>
        </w:rPr>
      </w:pPr>
      <w:r w:rsidRPr="00453527">
        <w:rPr>
          <w:rFonts w:ascii="Arial" w:hAnsi="Arial" w:cs="Arial"/>
          <w:lang w:val="es-CO"/>
        </w:rPr>
        <w:t xml:space="preserve">Cabe </w:t>
      </w:r>
      <w:r w:rsidRPr="00453527">
        <w:rPr>
          <w:rFonts w:ascii="Arial" w:hAnsi="Arial" w:cs="Arial"/>
        </w:rPr>
        <w:t xml:space="preserve">destacar que </w:t>
      </w:r>
      <w:r>
        <w:rPr>
          <w:rFonts w:ascii="Arial" w:hAnsi="Arial" w:cs="Arial"/>
        </w:rPr>
        <w:t>l</w:t>
      </w:r>
      <w:r w:rsidRPr="00453527">
        <w:rPr>
          <w:rFonts w:ascii="Arial" w:hAnsi="Arial" w:cs="Arial"/>
        </w:rPr>
        <w:t xml:space="preserve">a </w:t>
      </w:r>
      <w:r>
        <w:rPr>
          <w:rFonts w:ascii="Arial" w:hAnsi="Arial" w:cs="Arial"/>
        </w:rPr>
        <w:t xml:space="preserve">Universidad La </w:t>
      </w:r>
      <w:r w:rsidRPr="00453527">
        <w:rPr>
          <w:rFonts w:ascii="Arial" w:hAnsi="Arial" w:cs="Arial"/>
        </w:rPr>
        <w:t xml:space="preserve">Salle es la “única” IES privada que brinda esta especialidad en la Zona Metropolitana, lo que la establece como la principal opción entre las universidades particulares de la urbe, lugar donde se concentra el mayor número de </w:t>
      </w:r>
      <w:r w:rsidRPr="00453527">
        <w:rPr>
          <w:rFonts w:ascii="Arial" w:hAnsi="Arial" w:cs="Arial"/>
        </w:rPr>
        <w:lastRenderedPageBreak/>
        <w:t>médicos residentes que les interesaría capacitarse en las diversas especialidades médicas.</w:t>
      </w:r>
    </w:p>
    <w:p w:rsidR="00FA5B99" w:rsidRDefault="00FA5B99" w:rsidP="00FA5B99">
      <w:pPr>
        <w:spacing w:after="0" w:line="276" w:lineRule="auto"/>
        <w:jc w:val="both"/>
        <w:rPr>
          <w:rFonts w:ascii="Arial" w:hAnsi="Arial" w:cs="Arial"/>
          <w:lang w:val="es-CO"/>
        </w:rPr>
      </w:pPr>
    </w:p>
    <w:p w:rsidR="00FA5B99" w:rsidRPr="00453527" w:rsidRDefault="00FA5B99" w:rsidP="00C75DC2">
      <w:pPr>
        <w:tabs>
          <w:tab w:val="left" w:pos="1590"/>
        </w:tabs>
        <w:spacing w:after="0" w:line="240" w:lineRule="auto"/>
        <w:jc w:val="center"/>
        <w:rPr>
          <w:rFonts w:ascii="Arial" w:hAnsi="Arial" w:cs="Arial"/>
          <w:b/>
          <w:lang w:val="es-CO"/>
        </w:rPr>
      </w:pPr>
      <w:r w:rsidRPr="00453527">
        <w:rPr>
          <w:rFonts w:ascii="Arial" w:hAnsi="Arial" w:cs="Arial"/>
          <w:b/>
          <w:lang w:val="es-CO"/>
        </w:rPr>
        <w:t>Gráfic</w:t>
      </w:r>
      <w:r w:rsidR="00D82279">
        <w:rPr>
          <w:rFonts w:ascii="Arial" w:hAnsi="Arial" w:cs="Arial"/>
          <w:b/>
          <w:lang w:val="es-CO"/>
        </w:rPr>
        <w:t>a</w:t>
      </w:r>
      <w:r w:rsidRPr="00453527">
        <w:rPr>
          <w:rFonts w:ascii="Arial" w:hAnsi="Arial" w:cs="Arial"/>
          <w:b/>
          <w:lang w:val="es-CO"/>
        </w:rPr>
        <w:t xml:space="preserve"> </w:t>
      </w:r>
      <w:r w:rsidR="00C75DC2">
        <w:rPr>
          <w:rFonts w:ascii="Arial" w:hAnsi="Arial" w:cs="Arial"/>
          <w:b/>
          <w:lang w:val="es-CO"/>
        </w:rPr>
        <w:t>15</w:t>
      </w:r>
      <w:r w:rsidRPr="00453527">
        <w:rPr>
          <w:rFonts w:ascii="Arial" w:hAnsi="Arial" w:cs="Arial"/>
          <w:b/>
          <w:lang w:val="es-CO"/>
        </w:rPr>
        <w:t xml:space="preserve">. Ingreso, matrícula y egreso de las Instituciones “Privadas” que ofertan la Esp. en Medicina del Enfermo Adulto en Estado Crítico, </w:t>
      </w:r>
      <w:r>
        <w:rPr>
          <w:rFonts w:ascii="Arial" w:hAnsi="Arial" w:cs="Arial"/>
          <w:b/>
          <w:lang w:val="es-CO"/>
        </w:rPr>
        <w:t>p</w:t>
      </w:r>
      <w:r w:rsidRPr="00453527">
        <w:rPr>
          <w:rFonts w:ascii="Arial" w:hAnsi="Arial" w:cs="Arial"/>
          <w:b/>
          <w:lang w:val="es-CO"/>
        </w:rPr>
        <w:t>eriodo 2014-2018.</w:t>
      </w:r>
    </w:p>
    <w:p w:rsidR="00FA5B99" w:rsidRPr="00453527" w:rsidRDefault="00FA5B99" w:rsidP="00C75DC2">
      <w:pPr>
        <w:tabs>
          <w:tab w:val="left" w:pos="1590"/>
        </w:tabs>
        <w:spacing w:after="0" w:line="240" w:lineRule="auto"/>
        <w:jc w:val="center"/>
        <w:rPr>
          <w:rFonts w:ascii="Arial" w:hAnsi="Arial" w:cs="Arial"/>
          <w:sz w:val="16"/>
          <w:lang w:val="es-CO"/>
        </w:rPr>
      </w:pPr>
    </w:p>
    <w:p w:rsidR="00FA5B99" w:rsidRPr="00453527" w:rsidRDefault="00FA5B99" w:rsidP="00FA5B99">
      <w:pPr>
        <w:tabs>
          <w:tab w:val="left" w:pos="1590"/>
        </w:tabs>
        <w:spacing w:after="0" w:line="276" w:lineRule="auto"/>
        <w:jc w:val="center"/>
        <w:rPr>
          <w:rFonts w:ascii="Arial" w:hAnsi="Arial" w:cs="Arial"/>
        </w:rPr>
      </w:pPr>
      <w:r>
        <w:rPr>
          <w:rFonts w:ascii="Arial" w:hAnsi="Arial" w:cs="Arial"/>
          <w:noProof/>
          <w:lang w:eastAsia="es-MX"/>
        </w:rPr>
        <w:drawing>
          <wp:inline distT="0" distB="0" distL="0" distR="0" wp14:anchorId="40351DD9" wp14:editId="50C6D371">
            <wp:extent cx="5262417" cy="3704253"/>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62417" cy="3704253"/>
                    </a:xfrm>
                    <a:prstGeom prst="rect">
                      <a:avLst/>
                    </a:prstGeom>
                    <a:noFill/>
                  </pic:spPr>
                </pic:pic>
              </a:graphicData>
            </a:graphic>
          </wp:inline>
        </w:drawing>
      </w:r>
    </w:p>
    <w:p w:rsidR="00FA5B99" w:rsidRPr="00453527" w:rsidRDefault="00FA5B99" w:rsidP="00FA5B99">
      <w:pPr>
        <w:tabs>
          <w:tab w:val="left" w:pos="1590"/>
        </w:tabs>
        <w:spacing w:after="0" w:line="276" w:lineRule="auto"/>
        <w:jc w:val="center"/>
        <w:rPr>
          <w:rFonts w:ascii="Arial" w:hAnsi="Arial" w:cs="Arial"/>
        </w:rPr>
      </w:pPr>
      <w:r w:rsidRPr="00453527">
        <w:rPr>
          <w:rFonts w:ascii="Arial" w:hAnsi="Arial" w:cs="Arial"/>
          <w:b/>
          <w:sz w:val="18"/>
          <w:lang w:val="es-CO"/>
        </w:rPr>
        <w:t>Fuente:</w:t>
      </w:r>
      <w:r w:rsidRPr="00453527">
        <w:rPr>
          <w:rFonts w:ascii="Arial" w:hAnsi="Arial" w:cs="Arial"/>
          <w:sz w:val="18"/>
          <w:lang w:val="es-CO"/>
        </w:rPr>
        <w:t xml:space="preserve"> Elaboración propia a partir de los anuarios de educación superior-posgrado 2014-2018, ANUIES.</w:t>
      </w:r>
    </w:p>
    <w:p w:rsidR="00FA5B99" w:rsidRPr="00453527" w:rsidRDefault="00FA5B99" w:rsidP="00FA5B99">
      <w:pPr>
        <w:spacing w:after="0" w:line="276" w:lineRule="auto"/>
        <w:jc w:val="both"/>
        <w:rPr>
          <w:rFonts w:ascii="Arial" w:hAnsi="Arial" w:cs="Arial"/>
        </w:rPr>
      </w:pPr>
    </w:p>
    <w:p w:rsidR="00FA5B99" w:rsidRPr="00453527" w:rsidRDefault="00FA5B99" w:rsidP="00FA5B99">
      <w:pPr>
        <w:spacing w:after="0" w:line="360" w:lineRule="auto"/>
        <w:jc w:val="both"/>
        <w:rPr>
          <w:rFonts w:ascii="Arial" w:hAnsi="Arial" w:cs="Arial"/>
        </w:rPr>
      </w:pPr>
      <w:r>
        <w:rPr>
          <w:rFonts w:ascii="Arial" w:hAnsi="Arial" w:cs="Arial"/>
        </w:rPr>
        <w:t>Respecto a</w:t>
      </w:r>
      <w:r w:rsidRPr="00453527">
        <w:rPr>
          <w:rFonts w:ascii="Arial" w:hAnsi="Arial" w:cs="Arial"/>
        </w:rPr>
        <w:t>l Tecnológico de Monterrey (ITESM)</w:t>
      </w:r>
      <w:r>
        <w:rPr>
          <w:rFonts w:ascii="Arial" w:hAnsi="Arial" w:cs="Arial"/>
        </w:rPr>
        <w:t>,</w:t>
      </w:r>
      <w:r w:rsidRPr="00453527">
        <w:rPr>
          <w:rFonts w:ascii="Arial" w:hAnsi="Arial" w:cs="Arial"/>
        </w:rPr>
        <w:t xml:space="preserve"> </w:t>
      </w:r>
      <w:r>
        <w:rPr>
          <w:rFonts w:ascii="Arial" w:hAnsi="Arial" w:cs="Arial"/>
        </w:rPr>
        <w:t xml:space="preserve">se </w:t>
      </w:r>
      <w:r w:rsidRPr="00453527">
        <w:rPr>
          <w:rFonts w:ascii="Arial" w:hAnsi="Arial" w:cs="Arial"/>
        </w:rPr>
        <w:t>report</w:t>
      </w:r>
      <w:r>
        <w:rPr>
          <w:rFonts w:ascii="Arial" w:hAnsi="Arial" w:cs="Arial"/>
        </w:rPr>
        <w:t>ó</w:t>
      </w:r>
      <w:r w:rsidRPr="00453527">
        <w:rPr>
          <w:rFonts w:ascii="Arial" w:hAnsi="Arial" w:cs="Arial"/>
        </w:rPr>
        <w:t xml:space="preserve"> una permanencia en sus registros, sólo en el 2016 present</w:t>
      </w:r>
      <w:r>
        <w:rPr>
          <w:rFonts w:ascii="Arial" w:hAnsi="Arial" w:cs="Arial"/>
        </w:rPr>
        <w:t>ó</w:t>
      </w:r>
      <w:r w:rsidRPr="00453527">
        <w:rPr>
          <w:rFonts w:ascii="Arial" w:hAnsi="Arial" w:cs="Arial"/>
        </w:rPr>
        <w:t xml:space="preserve"> un leve descenso en </w:t>
      </w:r>
      <w:r>
        <w:rPr>
          <w:rFonts w:ascii="Arial" w:hAnsi="Arial" w:cs="Arial"/>
        </w:rPr>
        <w:t>cuanto a su matrícula</w:t>
      </w:r>
      <w:r w:rsidRPr="00453527">
        <w:rPr>
          <w:rFonts w:ascii="Arial" w:hAnsi="Arial" w:cs="Arial"/>
        </w:rPr>
        <w:t>, pese a</w:t>
      </w:r>
      <w:r>
        <w:rPr>
          <w:rFonts w:ascii="Arial" w:hAnsi="Arial" w:cs="Arial"/>
        </w:rPr>
        <w:t xml:space="preserve"> ello</w:t>
      </w:r>
      <w:r w:rsidRPr="00453527">
        <w:rPr>
          <w:rFonts w:ascii="Arial" w:hAnsi="Arial" w:cs="Arial"/>
        </w:rPr>
        <w:t>, mant</w:t>
      </w:r>
      <w:r>
        <w:rPr>
          <w:rFonts w:ascii="Arial" w:hAnsi="Arial" w:cs="Arial"/>
        </w:rPr>
        <w:t>uvo</w:t>
      </w:r>
      <w:r w:rsidRPr="00453527">
        <w:rPr>
          <w:rFonts w:ascii="Arial" w:hAnsi="Arial" w:cs="Arial"/>
        </w:rPr>
        <w:t xml:space="preserve"> un promedio de 2 ingresos</w:t>
      </w:r>
      <w:r>
        <w:rPr>
          <w:rFonts w:ascii="Arial" w:hAnsi="Arial" w:cs="Arial"/>
        </w:rPr>
        <w:t xml:space="preserve"> por año</w:t>
      </w:r>
      <w:r w:rsidRPr="00453527">
        <w:rPr>
          <w:rFonts w:ascii="Arial" w:hAnsi="Arial" w:cs="Arial"/>
        </w:rPr>
        <w:t>, 5 estudiantes en su matrícu</w:t>
      </w:r>
      <w:r w:rsidR="00D82279">
        <w:rPr>
          <w:rFonts w:ascii="Arial" w:hAnsi="Arial" w:cs="Arial"/>
        </w:rPr>
        <w:t>la y 2 especialistas egresados (</w:t>
      </w:r>
      <w:r w:rsidRPr="00453527">
        <w:rPr>
          <w:rFonts w:ascii="Arial" w:hAnsi="Arial" w:cs="Arial"/>
        </w:rPr>
        <w:t>Gráfic</w:t>
      </w:r>
      <w:r w:rsidR="008C4960">
        <w:rPr>
          <w:rFonts w:ascii="Arial" w:hAnsi="Arial" w:cs="Arial"/>
        </w:rPr>
        <w:t>a</w:t>
      </w:r>
      <w:r w:rsidRPr="00453527">
        <w:rPr>
          <w:rFonts w:ascii="Arial" w:hAnsi="Arial" w:cs="Arial"/>
        </w:rPr>
        <w:t xml:space="preserve"> </w:t>
      </w:r>
      <w:r w:rsidR="008C4960">
        <w:rPr>
          <w:rFonts w:ascii="Arial" w:hAnsi="Arial" w:cs="Arial"/>
        </w:rPr>
        <w:t>15</w:t>
      </w:r>
      <w:r w:rsidR="00D82279">
        <w:rPr>
          <w:rFonts w:ascii="Arial" w:hAnsi="Arial" w:cs="Arial"/>
        </w:rPr>
        <w:t>)</w:t>
      </w:r>
      <w:r w:rsidRPr="00453527">
        <w:rPr>
          <w:rFonts w:ascii="Arial" w:hAnsi="Arial" w:cs="Arial"/>
        </w:rPr>
        <w:t xml:space="preserve">.   </w:t>
      </w:r>
    </w:p>
    <w:p w:rsidR="00FA5B99" w:rsidRPr="00453527" w:rsidRDefault="00FA5B99" w:rsidP="00FA5B99">
      <w:pPr>
        <w:spacing w:after="0" w:line="360" w:lineRule="auto"/>
        <w:jc w:val="both"/>
        <w:rPr>
          <w:rFonts w:ascii="Arial" w:hAnsi="Arial" w:cs="Arial"/>
        </w:rPr>
      </w:pPr>
    </w:p>
    <w:p w:rsidR="00FA5B99" w:rsidRPr="00453527" w:rsidRDefault="00FA5B99" w:rsidP="00FA5B99">
      <w:pPr>
        <w:spacing w:after="0" w:line="360" w:lineRule="auto"/>
        <w:jc w:val="both"/>
        <w:rPr>
          <w:rFonts w:ascii="Arial" w:hAnsi="Arial" w:cs="Arial"/>
        </w:rPr>
      </w:pPr>
      <w:r w:rsidRPr="00453527">
        <w:rPr>
          <w:rFonts w:ascii="Arial" w:hAnsi="Arial" w:cs="Arial"/>
        </w:rPr>
        <w:t xml:space="preserve">Respecto a las tasas de crecimiento de estas instituciones privadas (ULSA </w:t>
      </w:r>
      <w:r>
        <w:rPr>
          <w:rFonts w:ascii="Arial" w:hAnsi="Arial" w:cs="Arial"/>
        </w:rPr>
        <w:t>e ITESM</w:t>
      </w:r>
      <w:r w:rsidRPr="00453527">
        <w:rPr>
          <w:rFonts w:ascii="Arial" w:hAnsi="Arial" w:cs="Arial"/>
        </w:rPr>
        <w:t>), en lo general proyectan datos positivos pues manifiesta</w:t>
      </w:r>
      <w:r>
        <w:rPr>
          <w:rFonts w:ascii="Arial" w:hAnsi="Arial" w:cs="Arial"/>
        </w:rPr>
        <w:t>n</w:t>
      </w:r>
      <w:r w:rsidRPr="00453527">
        <w:rPr>
          <w:rFonts w:ascii="Arial" w:hAnsi="Arial" w:cs="Arial"/>
        </w:rPr>
        <w:t xml:space="preserve"> un</w:t>
      </w:r>
      <w:r>
        <w:rPr>
          <w:rFonts w:ascii="Arial" w:hAnsi="Arial" w:cs="Arial"/>
        </w:rPr>
        <w:t xml:space="preserve">a progresión </w:t>
      </w:r>
      <w:r w:rsidRPr="00453527">
        <w:rPr>
          <w:rFonts w:ascii="Arial" w:hAnsi="Arial" w:cs="Arial"/>
        </w:rPr>
        <w:t xml:space="preserve">del 3.39% en sus ingresos, el 7.46% en su matrícula, y </w:t>
      </w:r>
      <w:r>
        <w:rPr>
          <w:rFonts w:ascii="Arial" w:hAnsi="Arial" w:cs="Arial"/>
        </w:rPr>
        <w:t xml:space="preserve">el 18.92% en sus </w:t>
      </w:r>
      <w:r w:rsidRPr="00453527">
        <w:rPr>
          <w:rFonts w:ascii="Arial" w:hAnsi="Arial" w:cs="Arial"/>
        </w:rPr>
        <w:t>egreso</w:t>
      </w:r>
      <w:r>
        <w:rPr>
          <w:rFonts w:ascii="Arial" w:hAnsi="Arial" w:cs="Arial"/>
        </w:rPr>
        <w:t xml:space="preserve">s </w:t>
      </w:r>
      <w:r w:rsidRPr="00453527">
        <w:rPr>
          <w:rFonts w:ascii="Arial" w:hAnsi="Arial" w:cs="Arial"/>
        </w:rPr>
        <w:t xml:space="preserve">(Cuadro </w:t>
      </w:r>
      <w:r w:rsidR="008C4960">
        <w:rPr>
          <w:rFonts w:ascii="Arial" w:hAnsi="Arial" w:cs="Arial"/>
        </w:rPr>
        <w:t>14</w:t>
      </w:r>
      <w:r w:rsidRPr="00453527">
        <w:rPr>
          <w:rFonts w:ascii="Arial" w:hAnsi="Arial" w:cs="Arial"/>
        </w:rPr>
        <w:t xml:space="preserve">). Lo </w:t>
      </w:r>
      <w:r>
        <w:rPr>
          <w:rFonts w:ascii="Arial" w:hAnsi="Arial" w:cs="Arial"/>
        </w:rPr>
        <w:t xml:space="preserve">que </w:t>
      </w:r>
      <w:r w:rsidRPr="00453527">
        <w:rPr>
          <w:rFonts w:ascii="Arial" w:hAnsi="Arial" w:cs="Arial"/>
        </w:rPr>
        <w:t xml:space="preserve">lleva a corroborar que la especialidad en Medicina del Enfermo Adulto en Estado Crítico muestra una tendencia de </w:t>
      </w:r>
      <w:r>
        <w:rPr>
          <w:rFonts w:ascii="Arial" w:hAnsi="Arial" w:cs="Arial"/>
        </w:rPr>
        <w:t xml:space="preserve">interés y </w:t>
      </w:r>
      <w:r w:rsidRPr="00453527">
        <w:rPr>
          <w:rFonts w:ascii="Arial" w:hAnsi="Arial" w:cs="Arial"/>
        </w:rPr>
        <w:t>crecimiento educativo profesional</w:t>
      </w:r>
      <w:r>
        <w:rPr>
          <w:rFonts w:ascii="Arial" w:hAnsi="Arial" w:cs="Arial"/>
        </w:rPr>
        <w:t xml:space="preserve"> </w:t>
      </w:r>
      <w:r w:rsidR="009E49F4">
        <w:rPr>
          <w:rFonts w:ascii="Arial" w:hAnsi="Arial" w:cs="Arial"/>
        </w:rPr>
        <w:t>sostenido</w:t>
      </w:r>
      <w:r w:rsidRPr="00453527">
        <w:rPr>
          <w:rFonts w:ascii="Arial" w:hAnsi="Arial" w:cs="Arial"/>
        </w:rPr>
        <w:t>.</w:t>
      </w:r>
    </w:p>
    <w:p w:rsidR="00FA5B99" w:rsidRPr="00453527" w:rsidRDefault="00FA5B99" w:rsidP="00FA5B99">
      <w:pPr>
        <w:spacing w:after="0" w:line="276" w:lineRule="auto"/>
        <w:jc w:val="both"/>
        <w:rPr>
          <w:rFonts w:ascii="Arial" w:hAnsi="Arial" w:cs="Arial"/>
        </w:rPr>
      </w:pPr>
    </w:p>
    <w:p w:rsidR="0057550B" w:rsidRDefault="0057550B" w:rsidP="00FA5B99">
      <w:pPr>
        <w:spacing w:after="0" w:line="276" w:lineRule="auto"/>
        <w:jc w:val="center"/>
        <w:rPr>
          <w:rFonts w:ascii="Arial" w:hAnsi="Arial" w:cs="Arial"/>
          <w:b/>
          <w:noProof/>
          <w:lang w:val="es-CO" w:eastAsia="es-MX"/>
        </w:rPr>
      </w:pPr>
    </w:p>
    <w:p w:rsidR="0057550B" w:rsidRDefault="0057550B" w:rsidP="00FA5B99">
      <w:pPr>
        <w:spacing w:after="0" w:line="276" w:lineRule="auto"/>
        <w:jc w:val="center"/>
        <w:rPr>
          <w:rFonts w:ascii="Arial" w:hAnsi="Arial" w:cs="Arial"/>
          <w:b/>
          <w:noProof/>
          <w:lang w:val="es-CO" w:eastAsia="es-MX"/>
        </w:rPr>
      </w:pPr>
    </w:p>
    <w:p w:rsidR="00FA5B99" w:rsidRPr="00453527" w:rsidRDefault="00FA5B99" w:rsidP="00FA5B99">
      <w:pPr>
        <w:spacing w:after="0" w:line="276" w:lineRule="auto"/>
        <w:jc w:val="center"/>
        <w:rPr>
          <w:rFonts w:ascii="Arial" w:hAnsi="Arial" w:cs="Arial"/>
          <w:b/>
          <w:noProof/>
          <w:lang w:val="es-CO" w:eastAsia="es-MX"/>
        </w:rPr>
      </w:pPr>
      <w:r w:rsidRPr="00453527">
        <w:rPr>
          <w:rFonts w:ascii="Arial" w:hAnsi="Arial" w:cs="Arial"/>
          <w:b/>
          <w:noProof/>
          <w:lang w:val="es-CO" w:eastAsia="es-MX"/>
        </w:rPr>
        <w:lastRenderedPageBreak/>
        <w:t xml:space="preserve">Cuadro </w:t>
      </w:r>
      <w:r w:rsidR="00C75DC2">
        <w:rPr>
          <w:rFonts w:ascii="Arial" w:hAnsi="Arial" w:cs="Arial"/>
          <w:b/>
          <w:noProof/>
          <w:lang w:val="es-CO" w:eastAsia="es-MX"/>
        </w:rPr>
        <w:t>1</w:t>
      </w:r>
      <w:r w:rsidR="00743DA6">
        <w:rPr>
          <w:rFonts w:ascii="Arial" w:hAnsi="Arial" w:cs="Arial"/>
          <w:b/>
          <w:noProof/>
          <w:lang w:val="es-CO" w:eastAsia="es-MX"/>
        </w:rPr>
        <w:t>5</w:t>
      </w:r>
      <w:r w:rsidRPr="00453527">
        <w:rPr>
          <w:rFonts w:ascii="Arial" w:hAnsi="Arial" w:cs="Arial"/>
          <w:b/>
          <w:noProof/>
          <w:lang w:val="es-CO" w:eastAsia="es-MX"/>
        </w:rPr>
        <w:t xml:space="preserve">. Tasas de crecimiento en Instituciones “Privadas” a nivel nacional </w:t>
      </w:r>
    </w:p>
    <w:p w:rsidR="00FA5B99" w:rsidRPr="00453527" w:rsidRDefault="00FA5B99" w:rsidP="00FA5B99">
      <w:pPr>
        <w:spacing w:after="0" w:line="276" w:lineRule="auto"/>
        <w:jc w:val="center"/>
        <w:rPr>
          <w:rFonts w:ascii="Arial" w:hAnsi="Arial" w:cs="Arial"/>
          <w:b/>
          <w:noProof/>
          <w:lang w:val="es-CO" w:eastAsia="es-MX"/>
        </w:rPr>
      </w:pPr>
      <w:r w:rsidRPr="00453527">
        <w:rPr>
          <w:rFonts w:ascii="Arial" w:hAnsi="Arial" w:cs="Arial"/>
          <w:b/>
          <w:noProof/>
          <w:lang w:val="es-CO" w:eastAsia="es-MX"/>
        </w:rPr>
        <w:t xml:space="preserve">que ofrecen la Esp. en Medicina del Enfermo Adulto en Estado Crítico, 2014-2018. </w:t>
      </w:r>
    </w:p>
    <w:p w:rsidR="00FA5B99" w:rsidRPr="00453527" w:rsidRDefault="00FA5B99" w:rsidP="00FA5B99">
      <w:pPr>
        <w:spacing w:after="0" w:line="276" w:lineRule="auto"/>
        <w:jc w:val="center"/>
        <w:rPr>
          <w:rFonts w:ascii="Arial" w:hAnsi="Arial" w:cs="Arial"/>
          <w:noProof/>
          <w:sz w:val="16"/>
          <w:lang w:val="es-CO" w:eastAsia="es-MX"/>
        </w:rPr>
      </w:pPr>
    </w:p>
    <w:tbl>
      <w:tblPr>
        <w:tblStyle w:val="Tablaconcuadrcula1"/>
        <w:tblW w:w="4676" w:type="dxa"/>
        <w:jc w:val="center"/>
        <w:tblLook w:val="04A0" w:firstRow="1" w:lastRow="0" w:firstColumn="1" w:lastColumn="0" w:noHBand="0" w:noVBand="1"/>
      </w:tblPr>
      <w:tblGrid>
        <w:gridCol w:w="2934"/>
        <w:gridCol w:w="1742"/>
      </w:tblGrid>
      <w:tr w:rsidR="00FA5B99" w:rsidRPr="00453527" w:rsidTr="00FA5B99">
        <w:trPr>
          <w:jc w:val="center"/>
        </w:trPr>
        <w:tc>
          <w:tcPr>
            <w:tcW w:w="2934" w:type="dxa"/>
            <w:tcBorders>
              <w:bottom w:val="single" w:sz="4" w:space="0" w:color="auto"/>
            </w:tcBorders>
            <w:shd w:val="clear" w:color="auto" w:fill="D9D9D9" w:themeFill="background1" w:themeFillShade="D9"/>
            <w:vAlign w:val="center"/>
          </w:tcPr>
          <w:p w:rsidR="00FA5B99" w:rsidRPr="00EE30F9" w:rsidRDefault="00FA5B99" w:rsidP="00FA5B99">
            <w:pPr>
              <w:spacing w:line="276" w:lineRule="auto"/>
              <w:jc w:val="center"/>
              <w:rPr>
                <w:rFonts w:ascii="Arial" w:hAnsi="Arial" w:cs="Arial"/>
                <w:b/>
                <w:sz w:val="20"/>
                <w:szCs w:val="20"/>
              </w:rPr>
            </w:pPr>
            <w:r w:rsidRPr="00EE30F9">
              <w:rPr>
                <w:rFonts w:ascii="Arial" w:hAnsi="Arial" w:cs="Arial"/>
                <w:b/>
                <w:sz w:val="20"/>
                <w:szCs w:val="20"/>
              </w:rPr>
              <w:t>Información cuantitativa</w:t>
            </w:r>
          </w:p>
        </w:tc>
        <w:tc>
          <w:tcPr>
            <w:tcW w:w="1742" w:type="dxa"/>
            <w:tcBorders>
              <w:bottom w:val="single" w:sz="4" w:space="0" w:color="auto"/>
            </w:tcBorders>
            <w:shd w:val="clear" w:color="auto" w:fill="D9D9D9" w:themeFill="background1" w:themeFillShade="D9"/>
            <w:vAlign w:val="center"/>
          </w:tcPr>
          <w:p w:rsidR="00FA5B99" w:rsidRPr="00453527" w:rsidRDefault="00FA5B99" w:rsidP="00FA5B99">
            <w:pPr>
              <w:spacing w:line="276" w:lineRule="auto"/>
              <w:jc w:val="center"/>
              <w:rPr>
                <w:rFonts w:ascii="Arial" w:hAnsi="Arial" w:cs="Arial"/>
                <w:b/>
              </w:rPr>
            </w:pPr>
            <w:r w:rsidRPr="00EE30F9">
              <w:rPr>
                <w:rFonts w:ascii="Arial" w:hAnsi="Arial" w:cs="Arial"/>
                <w:b/>
                <w:sz w:val="20"/>
                <w:szCs w:val="20"/>
              </w:rPr>
              <w:t>Porcentaje</w:t>
            </w:r>
          </w:p>
        </w:tc>
      </w:tr>
      <w:tr w:rsidR="00FA5B99" w:rsidRPr="00453527" w:rsidTr="00FA5B99">
        <w:trPr>
          <w:jc w:val="center"/>
        </w:trPr>
        <w:tc>
          <w:tcPr>
            <w:tcW w:w="2934"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Ingreso</w:t>
            </w:r>
          </w:p>
        </w:tc>
        <w:tc>
          <w:tcPr>
            <w:tcW w:w="1742"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3.39%</w:t>
            </w:r>
          </w:p>
        </w:tc>
      </w:tr>
      <w:tr w:rsidR="00FA5B99" w:rsidRPr="00453527" w:rsidTr="00FA5B99">
        <w:trPr>
          <w:jc w:val="center"/>
        </w:trPr>
        <w:tc>
          <w:tcPr>
            <w:tcW w:w="2934"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Matrícula</w:t>
            </w:r>
          </w:p>
        </w:tc>
        <w:tc>
          <w:tcPr>
            <w:tcW w:w="1742"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7.46%</w:t>
            </w:r>
          </w:p>
        </w:tc>
      </w:tr>
      <w:tr w:rsidR="00FA5B99" w:rsidRPr="00453527" w:rsidTr="00FA5B99">
        <w:trPr>
          <w:jc w:val="center"/>
        </w:trPr>
        <w:tc>
          <w:tcPr>
            <w:tcW w:w="2934"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Egreso</w:t>
            </w:r>
          </w:p>
        </w:tc>
        <w:tc>
          <w:tcPr>
            <w:tcW w:w="1742" w:type="dxa"/>
            <w:tcBorders>
              <w:top w:val="single" w:sz="4" w:space="0" w:color="auto"/>
              <w:left w:val="single" w:sz="4" w:space="0" w:color="auto"/>
              <w:bottom w:val="single" w:sz="4" w:space="0" w:color="auto"/>
              <w:right w:val="single" w:sz="4" w:space="0" w:color="auto"/>
            </w:tcBorders>
            <w:shd w:val="clear" w:color="auto" w:fill="auto"/>
            <w:vAlign w:val="center"/>
          </w:tcPr>
          <w:p w:rsidR="00FA5B99" w:rsidRPr="00453527" w:rsidRDefault="00FA5B99" w:rsidP="00FA5B99">
            <w:pPr>
              <w:jc w:val="center"/>
              <w:rPr>
                <w:rFonts w:ascii="Arial" w:eastAsia="Times New Roman" w:hAnsi="Arial" w:cs="Arial"/>
                <w:lang w:eastAsia="es-MX"/>
              </w:rPr>
            </w:pPr>
            <w:r w:rsidRPr="00453527">
              <w:rPr>
                <w:rFonts w:ascii="Arial" w:eastAsia="Times New Roman" w:hAnsi="Arial" w:cs="Arial"/>
                <w:lang w:eastAsia="es-MX"/>
              </w:rPr>
              <w:t>18.92%</w:t>
            </w:r>
          </w:p>
        </w:tc>
      </w:tr>
    </w:tbl>
    <w:p w:rsidR="00FA5B99" w:rsidRPr="00453527" w:rsidRDefault="00FA5B99" w:rsidP="00FA5B99">
      <w:pPr>
        <w:tabs>
          <w:tab w:val="left" w:pos="1590"/>
        </w:tabs>
        <w:spacing w:after="0" w:line="276" w:lineRule="auto"/>
        <w:jc w:val="center"/>
        <w:rPr>
          <w:rFonts w:ascii="Arial" w:hAnsi="Arial" w:cs="Arial"/>
          <w:sz w:val="16"/>
          <w:lang w:val="es-CO"/>
        </w:rPr>
      </w:pPr>
    </w:p>
    <w:p w:rsidR="00FA5B99" w:rsidRPr="00453527" w:rsidRDefault="00FA5B99" w:rsidP="00FA5B99">
      <w:pPr>
        <w:tabs>
          <w:tab w:val="left" w:pos="1590"/>
        </w:tabs>
        <w:spacing w:after="0" w:line="276" w:lineRule="auto"/>
        <w:jc w:val="center"/>
        <w:rPr>
          <w:rFonts w:ascii="Arial" w:hAnsi="Arial" w:cs="Arial"/>
        </w:rPr>
      </w:pPr>
      <w:r w:rsidRPr="00453527">
        <w:rPr>
          <w:rFonts w:ascii="Arial" w:hAnsi="Arial" w:cs="Arial"/>
          <w:b/>
          <w:sz w:val="18"/>
          <w:lang w:val="es-CO"/>
        </w:rPr>
        <w:t>Fuente:</w:t>
      </w:r>
      <w:r w:rsidRPr="00453527">
        <w:rPr>
          <w:rFonts w:ascii="Arial" w:hAnsi="Arial" w:cs="Arial"/>
          <w:sz w:val="18"/>
          <w:lang w:val="es-CO"/>
        </w:rPr>
        <w:t xml:space="preserve"> Elaboración propia con base en los resultados obtenidos en ANUIES 2014-2018.</w:t>
      </w:r>
    </w:p>
    <w:p w:rsidR="00FA5B99" w:rsidRDefault="00FA5B99" w:rsidP="00FA5B99">
      <w:pPr>
        <w:tabs>
          <w:tab w:val="left" w:pos="1590"/>
        </w:tabs>
        <w:spacing w:after="0" w:line="276" w:lineRule="auto"/>
        <w:jc w:val="both"/>
        <w:rPr>
          <w:rFonts w:ascii="Arial" w:hAnsi="Arial" w:cs="Arial"/>
        </w:rPr>
      </w:pPr>
    </w:p>
    <w:p w:rsidR="0018256F" w:rsidRPr="001C1816" w:rsidRDefault="0018256F" w:rsidP="0018256F">
      <w:pPr>
        <w:pStyle w:val="Default"/>
        <w:jc w:val="both"/>
        <w:rPr>
          <w:rFonts w:ascii="Indivisa Text Sans" w:hAnsi="Indivisa Text Sans"/>
          <w:sz w:val="22"/>
          <w:szCs w:val="22"/>
        </w:rPr>
      </w:pPr>
    </w:p>
    <w:p w:rsidR="0018256F" w:rsidRPr="0018256F" w:rsidRDefault="0018256F" w:rsidP="0018256F">
      <w:pPr>
        <w:pStyle w:val="Default"/>
        <w:spacing w:line="360" w:lineRule="auto"/>
        <w:jc w:val="both"/>
        <w:rPr>
          <w:sz w:val="22"/>
          <w:szCs w:val="22"/>
        </w:rPr>
      </w:pPr>
      <w:r w:rsidRPr="0018256F">
        <w:rPr>
          <w:sz w:val="22"/>
          <w:szCs w:val="22"/>
        </w:rPr>
        <w:t xml:space="preserve">Las Instituciones que ofrecen las Especialidad en Medicina del Enfermo en Estado Crítico son: Hospital Ángeles del Pedregal, Hospital </w:t>
      </w:r>
      <w:r w:rsidR="00D61936">
        <w:rPr>
          <w:sz w:val="22"/>
          <w:szCs w:val="22"/>
        </w:rPr>
        <w:t xml:space="preserve">Regional General Ignacio Zaragoza </w:t>
      </w:r>
      <w:r w:rsidRPr="0018256F">
        <w:rPr>
          <w:sz w:val="22"/>
          <w:szCs w:val="22"/>
        </w:rPr>
        <w:t xml:space="preserve">ISSSTE y Centro Médico Dalinde. Conforme a los datos de Ingreso, los resultados nos indican que el Hospital </w:t>
      </w:r>
      <w:r w:rsidR="00D61936">
        <w:rPr>
          <w:sz w:val="22"/>
          <w:szCs w:val="22"/>
        </w:rPr>
        <w:t xml:space="preserve">Regional General Ignacio Zaragoza </w:t>
      </w:r>
      <w:r w:rsidRPr="0018256F">
        <w:rPr>
          <w:sz w:val="22"/>
          <w:szCs w:val="22"/>
        </w:rPr>
        <w:t xml:space="preserve">ISSSTE cuenta con mayor número de residentes (3 a 4), en comparación con el Hospital Ángeles del Pedregal que muestra datos menores (2); y por último el Centro Médico Dalinde que no cuenta con datos de Ingreso durante los años 2012 a 2018. </w:t>
      </w:r>
    </w:p>
    <w:p w:rsidR="0018256F" w:rsidRPr="0018256F" w:rsidRDefault="0018256F" w:rsidP="0018256F">
      <w:pPr>
        <w:pStyle w:val="Default"/>
        <w:spacing w:line="360" w:lineRule="auto"/>
        <w:jc w:val="both"/>
        <w:rPr>
          <w:sz w:val="22"/>
          <w:szCs w:val="22"/>
        </w:rPr>
      </w:pPr>
    </w:p>
    <w:p w:rsidR="0018256F" w:rsidRPr="0018256F" w:rsidRDefault="0018256F" w:rsidP="0018256F">
      <w:pPr>
        <w:pStyle w:val="Default"/>
        <w:spacing w:line="360" w:lineRule="auto"/>
        <w:jc w:val="both"/>
        <w:rPr>
          <w:sz w:val="22"/>
          <w:szCs w:val="22"/>
        </w:rPr>
      </w:pPr>
      <w:r w:rsidRPr="0018256F">
        <w:rPr>
          <w:sz w:val="22"/>
          <w:szCs w:val="22"/>
        </w:rPr>
        <w:t xml:space="preserve">Así, la Matrícula nos muestra que el Hospital que predomina es </w:t>
      </w:r>
      <w:r w:rsidR="00D61936">
        <w:rPr>
          <w:sz w:val="22"/>
          <w:szCs w:val="22"/>
        </w:rPr>
        <w:t xml:space="preserve">el Hospital Regional General Ignacio Zaragoza </w:t>
      </w:r>
      <w:r w:rsidRPr="0018256F">
        <w:rPr>
          <w:sz w:val="22"/>
          <w:szCs w:val="22"/>
        </w:rPr>
        <w:t xml:space="preserve">ISSSTE, ya que durante los años 2012 a 2018 indica un número de 5 a 8; seguido del Hospital Ángeles del Pedregal con un número de 3 a 4; y, por último, el Centro Médico Dalinde solo reportó 1 en el 2015. El Egreso muestra datos similares a los anteriores. </w:t>
      </w:r>
    </w:p>
    <w:p w:rsidR="0018256F" w:rsidRPr="0018256F" w:rsidRDefault="0018256F" w:rsidP="0018256F">
      <w:pPr>
        <w:pStyle w:val="Default"/>
        <w:spacing w:line="360" w:lineRule="auto"/>
        <w:jc w:val="both"/>
        <w:rPr>
          <w:sz w:val="22"/>
          <w:szCs w:val="22"/>
        </w:rPr>
      </w:pPr>
    </w:p>
    <w:p w:rsidR="0018256F" w:rsidRPr="0018256F" w:rsidRDefault="0018256F" w:rsidP="0018256F">
      <w:pPr>
        <w:pStyle w:val="Default"/>
        <w:spacing w:line="360" w:lineRule="auto"/>
        <w:jc w:val="both"/>
        <w:rPr>
          <w:sz w:val="22"/>
          <w:szCs w:val="22"/>
        </w:rPr>
      </w:pPr>
      <w:r w:rsidRPr="0018256F">
        <w:rPr>
          <w:sz w:val="22"/>
          <w:szCs w:val="22"/>
        </w:rPr>
        <w:t xml:space="preserve">En la </w:t>
      </w:r>
      <w:r w:rsidR="00D82279">
        <w:rPr>
          <w:sz w:val="22"/>
          <w:szCs w:val="22"/>
        </w:rPr>
        <w:t>(</w:t>
      </w:r>
      <w:r w:rsidRPr="0018256F">
        <w:rPr>
          <w:sz w:val="22"/>
          <w:szCs w:val="22"/>
        </w:rPr>
        <w:t xml:space="preserve">Gráfica </w:t>
      </w:r>
      <w:r w:rsidR="00C75DC2">
        <w:rPr>
          <w:sz w:val="22"/>
          <w:szCs w:val="22"/>
        </w:rPr>
        <w:t>16</w:t>
      </w:r>
      <w:r w:rsidR="00D82279">
        <w:rPr>
          <w:sz w:val="22"/>
          <w:szCs w:val="22"/>
        </w:rPr>
        <w:t>)</w:t>
      </w:r>
      <w:r w:rsidRPr="0018256F">
        <w:rPr>
          <w:sz w:val="22"/>
          <w:szCs w:val="22"/>
        </w:rPr>
        <w:t xml:space="preserve">, se describen los rubros de Ingreso, Matrícula y Egreso respecto a las 3 Instituciones que ofrecen la Especialidad. El Ingreso reporta que durante el 2016 hubo una baja, sin embargo, se recuperó en los últimos dos años, la Matrícula aumentó en comparación a los años anteriores 2012-2016 y el Egreso disminuyó en comparación al último año. La tasa de crecimiento es de: Ingreso 29%, Matrícula 23% y Egreso 9%. </w:t>
      </w:r>
    </w:p>
    <w:p w:rsidR="0018256F" w:rsidRDefault="0018256F" w:rsidP="0018256F">
      <w:pPr>
        <w:pStyle w:val="Default"/>
        <w:jc w:val="center"/>
        <w:rPr>
          <w:b/>
          <w:sz w:val="22"/>
          <w:szCs w:val="22"/>
        </w:rPr>
      </w:pPr>
    </w:p>
    <w:p w:rsidR="0018256F" w:rsidRDefault="0018256F"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57550B" w:rsidRDefault="0057550B" w:rsidP="0018256F">
      <w:pPr>
        <w:pStyle w:val="Default"/>
        <w:jc w:val="center"/>
        <w:rPr>
          <w:b/>
          <w:sz w:val="22"/>
          <w:szCs w:val="22"/>
        </w:rPr>
      </w:pPr>
    </w:p>
    <w:p w:rsidR="0018256F" w:rsidRPr="0018256F" w:rsidRDefault="0018256F" w:rsidP="0018256F">
      <w:pPr>
        <w:pStyle w:val="Default"/>
        <w:jc w:val="center"/>
        <w:rPr>
          <w:b/>
          <w:sz w:val="22"/>
          <w:szCs w:val="22"/>
        </w:rPr>
      </w:pPr>
      <w:r w:rsidRPr="0018256F">
        <w:rPr>
          <w:b/>
          <w:sz w:val="22"/>
          <w:szCs w:val="22"/>
        </w:rPr>
        <w:lastRenderedPageBreak/>
        <w:t xml:space="preserve">Gráfica </w:t>
      </w:r>
      <w:r w:rsidR="00C75DC2">
        <w:rPr>
          <w:b/>
          <w:sz w:val="22"/>
          <w:szCs w:val="22"/>
        </w:rPr>
        <w:t>16</w:t>
      </w:r>
      <w:r w:rsidRPr="0018256F">
        <w:rPr>
          <w:b/>
          <w:sz w:val="22"/>
          <w:szCs w:val="22"/>
        </w:rPr>
        <w:t xml:space="preserve">. Evolución de Ingreso, Matrícula y Egreso de la Especialidad en </w:t>
      </w:r>
    </w:p>
    <w:p w:rsidR="0018256F" w:rsidRDefault="0018256F" w:rsidP="0018256F">
      <w:pPr>
        <w:pStyle w:val="Default"/>
        <w:jc w:val="center"/>
        <w:rPr>
          <w:b/>
          <w:sz w:val="22"/>
          <w:szCs w:val="22"/>
        </w:rPr>
      </w:pPr>
      <w:r w:rsidRPr="0018256F">
        <w:rPr>
          <w:b/>
          <w:sz w:val="22"/>
          <w:szCs w:val="22"/>
        </w:rPr>
        <w:t>Medicina del Enfermo Adulto en Estado Crítico 2012 a 2018.</w:t>
      </w:r>
    </w:p>
    <w:p w:rsidR="0018256F" w:rsidRPr="0018256F" w:rsidRDefault="0018256F" w:rsidP="0018256F">
      <w:pPr>
        <w:pStyle w:val="Default"/>
        <w:jc w:val="center"/>
        <w:rPr>
          <w:b/>
          <w:sz w:val="22"/>
          <w:szCs w:val="22"/>
        </w:rPr>
      </w:pPr>
    </w:p>
    <w:p w:rsidR="0018256F" w:rsidRPr="0018256F" w:rsidRDefault="0018256F" w:rsidP="0018256F">
      <w:pPr>
        <w:pStyle w:val="Default"/>
        <w:jc w:val="center"/>
        <w:rPr>
          <w:b/>
          <w:sz w:val="22"/>
          <w:szCs w:val="22"/>
        </w:rPr>
      </w:pPr>
      <w:r w:rsidRPr="0018256F">
        <w:rPr>
          <w:noProof/>
          <w:sz w:val="22"/>
          <w:szCs w:val="22"/>
          <w:lang w:eastAsia="es-MX"/>
        </w:rPr>
        <w:drawing>
          <wp:anchor distT="0" distB="0" distL="114300" distR="114300" simplePos="0" relativeHeight="251658752" behindDoc="0" locked="0" layoutInCell="1" allowOverlap="1" wp14:anchorId="5704EFCF" wp14:editId="7370C79D">
            <wp:simplePos x="0" y="0"/>
            <wp:positionH relativeFrom="margin">
              <wp:align>center</wp:align>
            </wp:positionH>
            <wp:positionV relativeFrom="paragraph">
              <wp:posOffset>10795</wp:posOffset>
            </wp:positionV>
            <wp:extent cx="4524375" cy="2743200"/>
            <wp:effectExtent l="0" t="0" r="9525" b="0"/>
            <wp:wrapNone/>
            <wp:docPr id="28" name="Gráfico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Pr="0018256F" w:rsidRDefault="0018256F" w:rsidP="0018256F">
      <w:pPr>
        <w:pStyle w:val="Default"/>
        <w:jc w:val="both"/>
        <w:rPr>
          <w:sz w:val="22"/>
          <w:szCs w:val="22"/>
        </w:rPr>
      </w:pPr>
    </w:p>
    <w:p w:rsidR="0018256F" w:rsidRDefault="0018256F" w:rsidP="0018256F">
      <w:pPr>
        <w:pStyle w:val="Sinespaciado"/>
        <w:jc w:val="center"/>
        <w:rPr>
          <w:rFonts w:ascii="Arial" w:hAnsi="Arial" w:cs="Arial"/>
        </w:rPr>
      </w:pPr>
    </w:p>
    <w:p w:rsidR="0018256F" w:rsidRDefault="0018256F" w:rsidP="0018256F">
      <w:pPr>
        <w:pStyle w:val="Sinespaciado"/>
        <w:jc w:val="center"/>
        <w:rPr>
          <w:rFonts w:ascii="Arial" w:hAnsi="Arial" w:cs="Arial"/>
        </w:rPr>
      </w:pPr>
    </w:p>
    <w:p w:rsidR="0018256F" w:rsidRDefault="0018256F" w:rsidP="0018256F">
      <w:pPr>
        <w:pStyle w:val="Sinespaciado"/>
        <w:jc w:val="center"/>
        <w:rPr>
          <w:rFonts w:ascii="Arial" w:hAnsi="Arial" w:cs="Arial"/>
        </w:rPr>
      </w:pPr>
    </w:p>
    <w:p w:rsidR="0018256F" w:rsidRDefault="0018256F" w:rsidP="0018256F">
      <w:pPr>
        <w:pStyle w:val="Sinespaciado"/>
        <w:jc w:val="center"/>
        <w:rPr>
          <w:rFonts w:ascii="Arial" w:hAnsi="Arial" w:cs="Arial"/>
        </w:rPr>
      </w:pPr>
    </w:p>
    <w:p w:rsidR="0018256F" w:rsidRDefault="0018256F" w:rsidP="0018256F">
      <w:pPr>
        <w:pStyle w:val="Sinespaciado"/>
        <w:jc w:val="center"/>
        <w:rPr>
          <w:rFonts w:ascii="Arial" w:hAnsi="Arial" w:cs="Arial"/>
        </w:rPr>
      </w:pPr>
    </w:p>
    <w:p w:rsidR="0018256F" w:rsidRPr="0018256F" w:rsidRDefault="004F3312" w:rsidP="0018256F">
      <w:pPr>
        <w:pStyle w:val="Sinespaciado"/>
        <w:jc w:val="center"/>
        <w:rPr>
          <w:rFonts w:ascii="Arial" w:hAnsi="Arial" w:cs="Arial"/>
        </w:rPr>
      </w:pPr>
      <w:r>
        <w:rPr>
          <w:rFonts w:ascii="Arial" w:hAnsi="Arial" w:cs="Arial"/>
          <w:b/>
          <w:sz w:val="18"/>
        </w:rPr>
        <w:t xml:space="preserve">  </w:t>
      </w:r>
      <w:r w:rsidR="0018256F" w:rsidRPr="004F3312">
        <w:rPr>
          <w:rFonts w:ascii="Arial" w:hAnsi="Arial" w:cs="Arial"/>
          <w:b/>
          <w:sz w:val="18"/>
        </w:rPr>
        <w:t>Fuente:</w:t>
      </w:r>
      <w:r w:rsidR="0018256F" w:rsidRPr="004F3312">
        <w:rPr>
          <w:rFonts w:ascii="Arial" w:hAnsi="Arial" w:cs="Arial"/>
          <w:sz w:val="18"/>
        </w:rPr>
        <w:t xml:space="preserve"> Elaboración propia con base en datos de la Facultad Mexicana de Medicina 2012 a 2018.</w:t>
      </w:r>
    </w:p>
    <w:p w:rsidR="0018256F" w:rsidRPr="0018256F" w:rsidRDefault="0018256F" w:rsidP="0018256F">
      <w:pPr>
        <w:pStyle w:val="Default"/>
        <w:jc w:val="both"/>
        <w:rPr>
          <w:sz w:val="22"/>
          <w:szCs w:val="22"/>
        </w:rPr>
      </w:pPr>
    </w:p>
    <w:p w:rsidR="0018256F" w:rsidRDefault="0018256F"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57550B" w:rsidRDefault="0057550B" w:rsidP="009E49F4">
      <w:pPr>
        <w:tabs>
          <w:tab w:val="left" w:pos="1590"/>
        </w:tabs>
        <w:spacing w:after="0" w:line="360" w:lineRule="auto"/>
        <w:jc w:val="both"/>
        <w:rPr>
          <w:rFonts w:ascii="Arial" w:hAnsi="Arial" w:cs="Arial"/>
        </w:rPr>
      </w:pPr>
    </w:p>
    <w:p w:rsidR="004F3312" w:rsidRDefault="004F3312" w:rsidP="008B176E">
      <w:pPr>
        <w:pStyle w:val="Sinespaciado"/>
        <w:jc w:val="both"/>
        <w:rPr>
          <w:rFonts w:ascii="Arial" w:hAnsi="Arial" w:cs="Arial"/>
          <w:b/>
          <w:lang w:val="en-US"/>
        </w:rPr>
      </w:pPr>
    </w:p>
    <w:p w:rsidR="008B176E" w:rsidRPr="008B176E" w:rsidRDefault="008B176E" w:rsidP="008B176E">
      <w:pPr>
        <w:pStyle w:val="Sinespaciado"/>
        <w:jc w:val="both"/>
        <w:rPr>
          <w:rFonts w:ascii="Arial" w:hAnsi="Arial" w:cs="Arial"/>
          <w:b/>
          <w:lang w:val="en-US"/>
        </w:rPr>
      </w:pPr>
      <w:r w:rsidRPr="008B176E">
        <w:rPr>
          <w:rFonts w:ascii="Arial" w:hAnsi="Arial" w:cs="Arial"/>
          <w:b/>
          <w:lang w:val="en-US"/>
        </w:rPr>
        <w:lastRenderedPageBreak/>
        <w:t>BIBLIOGRAFÍA</w:t>
      </w:r>
    </w:p>
    <w:p w:rsidR="008B176E" w:rsidRPr="008B176E" w:rsidRDefault="008B176E" w:rsidP="008B176E">
      <w:pPr>
        <w:pStyle w:val="Sinespaciado"/>
        <w:jc w:val="both"/>
        <w:rPr>
          <w:rFonts w:ascii="Arial" w:hAnsi="Arial" w:cs="Arial"/>
        </w:rPr>
      </w:pPr>
    </w:p>
    <w:p w:rsidR="008B176E" w:rsidRPr="008B176E" w:rsidRDefault="008B176E" w:rsidP="008B176E">
      <w:pPr>
        <w:spacing w:after="0" w:line="240" w:lineRule="auto"/>
        <w:jc w:val="both"/>
        <w:rPr>
          <w:rFonts w:ascii="Arial" w:eastAsia="Calibri" w:hAnsi="Arial" w:cs="Arial"/>
          <w:lang w:val="es-CO"/>
        </w:rPr>
      </w:pPr>
      <w:r w:rsidRPr="008B176E">
        <w:rPr>
          <w:rFonts w:ascii="Arial" w:eastAsia="Calibri" w:hAnsi="Arial" w:cs="Arial"/>
          <w:lang w:val="es-CO"/>
        </w:rPr>
        <w:t xml:space="preserve">Asociación Nacional de Universidades e Instituciones de Educación Superior (2013-2018). </w:t>
      </w:r>
      <w:r w:rsidRPr="008B176E">
        <w:rPr>
          <w:rFonts w:ascii="Arial" w:eastAsia="Calibri" w:hAnsi="Arial" w:cs="Arial"/>
          <w:i/>
          <w:lang w:val="es-CO"/>
        </w:rPr>
        <w:t>Anuario estadístico de población escolar en la educación superior: Posgrado</w:t>
      </w:r>
      <w:r w:rsidRPr="008B176E">
        <w:rPr>
          <w:rFonts w:ascii="Arial" w:eastAsia="Calibri" w:hAnsi="Arial" w:cs="Arial"/>
          <w:lang w:val="es-CO"/>
        </w:rPr>
        <w:t>. México: ANUIES.</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rPr>
      </w:pPr>
      <w:r w:rsidRPr="008B176E">
        <w:rPr>
          <w:rFonts w:ascii="Arial" w:hAnsi="Arial" w:cs="Arial"/>
          <w:lang w:val="en-US"/>
        </w:rPr>
        <w:t xml:space="preserve">Bland, C. </w:t>
      </w:r>
      <w:r w:rsidRPr="008B176E">
        <w:rPr>
          <w:rFonts w:ascii="Arial" w:hAnsi="Arial" w:cs="Arial"/>
          <w:i/>
          <w:lang w:val="en-US"/>
        </w:rPr>
        <w:t>et al.</w:t>
      </w:r>
      <w:r w:rsidRPr="008B176E">
        <w:rPr>
          <w:rFonts w:ascii="Arial" w:hAnsi="Arial" w:cs="Arial"/>
          <w:lang w:val="en-US"/>
        </w:rPr>
        <w:t xml:space="preserve"> (1995). Determinants of primary care specialty choice: A non-statistical meta-analysis of the literature. </w:t>
      </w:r>
      <w:r w:rsidRPr="008B176E">
        <w:rPr>
          <w:rFonts w:ascii="Arial" w:hAnsi="Arial" w:cs="Arial"/>
          <w:i/>
          <w:lang w:val="en-US"/>
        </w:rPr>
        <w:t>Acad Med</w:t>
      </w:r>
      <w:r w:rsidRPr="008B176E">
        <w:rPr>
          <w:rFonts w:ascii="Arial" w:hAnsi="Arial" w:cs="Arial"/>
          <w:lang w:val="en-US"/>
        </w:rPr>
        <w:t xml:space="preserve">, </w:t>
      </w:r>
      <w:r w:rsidRPr="008B176E">
        <w:rPr>
          <w:rFonts w:ascii="Arial" w:hAnsi="Arial" w:cs="Arial"/>
          <w:i/>
          <w:lang w:val="en-US"/>
        </w:rPr>
        <w:t>70</w:t>
      </w:r>
      <w:r w:rsidRPr="008B176E">
        <w:rPr>
          <w:rFonts w:ascii="Arial" w:hAnsi="Arial" w:cs="Arial"/>
          <w:lang w:val="en-US"/>
        </w:rPr>
        <w:t xml:space="preserve">(7), </w:t>
      </w:r>
      <w:r w:rsidRPr="008B176E">
        <w:rPr>
          <w:rFonts w:ascii="Arial" w:hAnsi="Arial" w:cs="Arial"/>
        </w:rPr>
        <w:t>620–641.</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Cárdenas, R. (2010). Desafíos de la atención a la salud. En B. García y M. Ordorica (Coords.), </w:t>
      </w:r>
      <w:r w:rsidRPr="008B176E">
        <w:rPr>
          <w:rFonts w:ascii="Arial" w:hAnsi="Arial" w:cs="Arial"/>
          <w:i/>
        </w:rPr>
        <w:t>Los grandes problemas de México: Población (</w:t>
      </w:r>
      <w:r w:rsidRPr="008B176E">
        <w:rPr>
          <w:rFonts w:ascii="Arial" w:hAnsi="Arial" w:cs="Arial"/>
        </w:rPr>
        <w:t>pp.105-136)</w:t>
      </w:r>
      <w:r w:rsidRPr="008B176E">
        <w:rPr>
          <w:rFonts w:ascii="Arial" w:hAnsi="Arial" w:cs="Arial"/>
          <w:i/>
        </w:rPr>
        <w:t>.</w:t>
      </w:r>
      <w:r w:rsidRPr="008B176E">
        <w:rPr>
          <w:rFonts w:ascii="Arial" w:hAnsi="Arial" w:cs="Arial"/>
        </w:rPr>
        <w:t xml:space="preserve"> México: El Colegio de México.</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CONAPO (2018). </w:t>
      </w:r>
      <w:r w:rsidRPr="008B176E">
        <w:rPr>
          <w:rFonts w:ascii="Arial" w:hAnsi="Arial" w:cs="Arial"/>
          <w:i/>
        </w:rPr>
        <w:t>Proyecciones de población de México y de las entidades federativas 2016-2050.</w:t>
      </w:r>
      <w:r w:rsidRPr="008B176E">
        <w:rPr>
          <w:rFonts w:ascii="Arial" w:hAnsi="Arial" w:cs="Arial"/>
        </w:rPr>
        <w:t xml:space="preserve"> CONAPO. México. [En línea].  http://www.conapo.gob.mx. [Consulta el 1 de febrero de 2019]. </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Constitución Política de los Estados Unidos Mexicanos. Diario Oficial de la Federación, Ciudad de México, México, 06 de junio de 2019.</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Córdoba, J. </w:t>
      </w:r>
      <w:r w:rsidRPr="008B176E">
        <w:rPr>
          <w:rFonts w:ascii="Arial" w:hAnsi="Arial" w:cs="Arial"/>
          <w:i/>
        </w:rPr>
        <w:t xml:space="preserve"> et al. </w:t>
      </w:r>
      <w:r w:rsidRPr="008B176E">
        <w:rPr>
          <w:rFonts w:ascii="Arial" w:hAnsi="Arial" w:cs="Arial"/>
        </w:rPr>
        <w:t xml:space="preserve">(2008). Las enfermedades crónicas no transmisibles en México: Sinopsis epidemiológica y prevención integral. </w:t>
      </w:r>
      <w:r w:rsidRPr="008B176E">
        <w:rPr>
          <w:rFonts w:ascii="Arial" w:hAnsi="Arial" w:cs="Arial"/>
          <w:i/>
        </w:rPr>
        <w:t>Salud Pública de México</w:t>
      </w:r>
      <w:r w:rsidRPr="008B176E">
        <w:rPr>
          <w:rFonts w:ascii="Arial" w:hAnsi="Arial" w:cs="Arial"/>
        </w:rPr>
        <w:t xml:space="preserve">, </w:t>
      </w:r>
      <w:r w:rsidRPr="008B176E">
        <w:rPr>
          <w:rFonts w:ascii="Arial" w:hAnsi="Arial" w:cs="Arial"/>
          <w:i/>
        </w:rPr>
        <w:t>33</w:t>
      </w:r>
      <w:r w:rsidRPr="008B176E">
        <w:rPr>
          <w:rFonts w:ascii="Arial" w:hAnsi="Arial" w:cs="Arial"/>
        </w:rPr>
        <w:t xml:space="preserve">(5), 448-462. </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rPr>
      </w:pPr>
      <w:r w:rsidRPr="008B176E">
        <w:rPr>
          <w:rFonts w:ascii="Arial" w:hAnsi="Arial" w:cs="Arial"/>
          <w:lang w:val="en-US"/>
        </w:rPr>
        <w:t xml:space="preserve">Dussault, G. y M. Franceschini (2006). Not enough there, too many here: Understanding geographical imbalances in the distribution of the health workforce. </w:t>
      </w:r>
      <w:r w:rsidRPr="008B176E">
        <w:rPr>
          <w:rFonts w:ascii="Arial" w:hAnsi="Arial" w:cs="Arial"/>
          <w:i/>
        </w:rPr>
        <w:t>Human Resources for Health</w:t>
      </w:r>
      <w:r w:rsidRPr="008B176E">
        <w:rPr>
          <w:rFonts w:ascii="Arial" w:hAnsi="Arial" w:cs="Arial"/>
        </w:rPr>
        <w:t xml:space="preserve">, </w:t>
      </w:r>
      <w:r w:rsidRPr="008B176E">
        <w:rPr>
          <w:rFonts w:ascii="Arial" w:hAnsi="Arial" w:cs="Arial"/>
          <w:i/>
        </w:rPr>
        <w:t>4</w:t>
      </w:r>
      <w:r w:rsidRPr="008B176E">
        <w:rPr>
          <w:rFonts w:ascii="Arial" w:hAnsi="Arial" w:cs="Arial"/>
        </w:rPr>
        <w:t>(12), 1-16.</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Fajardo, G. </w:t>
      </w:r>
      <w:r w:rsidRPr="008B176E">
        <w:rPr>
          <w:rFonts w:ascii="Arial" w:hAnsi="Arial" w:cs="Arial"/>
          <w:i/>
        </w:rPr>
        <w:t xml:space="preserve"> et al.</w:t>
      </w:r>
      <w:r w:rsidRPr="008B176E">
        <w:rPr>
          <w:rFonts w:ascii="Arial" w:hAnsi="Arial" w:cs="Arial"/>
        </w:rPr>
        <w:t xml:space="preserve"> (2015). La planificación y formación de médicos especialistas en México. En Fajardo, G., Santacruz, J. y C. Lavalle (Coords.),</w:t>
      </w:r>
      <w:r w:rsidRPr="008B176E">
        <w:rPr>
          <w:rFonts w:ascii="Arial" w:hAnsi="Arial" w:cs="Arial"/>
          <w:i/>
        </w:rPr>
        <w:t xml:space="preserve"> La formación de médicos especialistas en México. Documento de postura</w:t>
      </w:r>
      <w:r w:rsidRPr="008B176E">
        <w:rPr>
          <w:rFonts w:ascii="Arial" w:hAnsi="Arial" w:cs="Arial"/>
        </w:rPr>
        <w:t xml:space="preserve"> (pp. 31-42). México: Academia Nacional de Medicina de México y Consejo Nacional de Ciencia y Tecnología. </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Fajardo, G. (2015). Propuesta de modelo para la formación de médicos especialistas en México. En Fajardo, G., Santacruz, J. y C. Lavalle (Coords.), </w:t>
      </w:r>
      <w:r w:rsidRPr="008B176E">
        <w:rPr>
          <w:rFonts w:ascii="Arial" w:hAnsi="Arial" w:cs="Arial"/>
          <w:i/>
        </w:rPr>
        <w:t>La formación de médicos especialistas en México. Documento de postura</w:t>
      </w:r>
      <w:r w:rsidRPr="008B176E">
        <w:rPr>
          <w:rFonts w:ascii="Arial" w:hAnsi="Arial" w:cs="Arial"/>
        </w:rPr>
        <w:t xml:space="preserve"> (pp. 187-201).  México: Academia Nacional de Medicina de México y Consejo Nacional de Ciencia y Tecnología.</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Fajardo, G. </w:t>
      </w:r>
      <w:r w:rsidRPr="008B176E">
        <w:rPr>
          <w:rFonts w:ascii="Arial" w:hAnsi="Arial" w:cs="Arial"/>
          <w:i/>
        </w:rPr>
        <w:t xml:space="preserve">et al. </w:t>
      </w:r>
      <w:r w:rsidRPr="008B176E">
        <w:rPr>
          <w:rFonts w:ascii="Arial" w:hAnsi="Arial" w:cs="Arial"/>
        </w:rPr>
        <w:t xml:space="preserve">(2015). </w:t>
      </w:r>
      <w:r w:rsidRPr="008B176E">
        <w:rPr>
          <w:rFonts w:ascii="Arial" w:hAnsi="Arial" w:cs="Arial"/>
          <w:i/>
        </w:rPr>
        <w:t xml:space="preserve">La formación de médicos especialistas en México. </w:t>
      </w:r>
      <w:r w:rsidRPr="008B176E">
        <w:rPr>
          <w:rFonts w:ascii="Arial" w:hAnsi="Arial" w:cs="Arial"/>
        </w:rPr>
        <w:t>México: Academia Nacional de Medicina.</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Frenk, J. </w:t>
      </w:r>
      <w:r w:rsidRPr="008B176E">
        <w:rPr>
          <w:rFonts w:ascii="Arial" w:hAnsi="Arial" w:cs="Arial"/>
          <w:i/>
        </w:rPr>
        <w:t xml:space="preserve"> et al.</w:t>
      </w:r>
      <w:r w:rsidRPr="008B176E">
        <w:rPr>
          <w:rFonts w:ascii="Arial" w:hAnsi="Arial" w:cs="Arial"/>
        </w:rPr>
        <w:t xml:space="preserve"> (1991a). Elementos para una teoría de la transición en salud. </w:t>
      </w:r>
      <w:r w:rsidRPr="008B176E">
        <w:rPr>
          <w:rFonts w:ascii="Arial" w:hAnsi="Arial" w:cs="Arial"/>
          <w:i/>
        </w:rPr>
        <w:t>Salud Pública de México</w:t>
      </w:r>
      <w:r w:rsidRPr="008B176E">
        <w:rPr>
          <w:rFonts w:ascii="Arial" w:hAnsi="Arial" w:cs="Arial"/>
        </w:rPr>
        <w:t xml:space="preserve">, </w:t>
      </w:r>
      <w:r w:rsidRPr="008B176E">
        <w:rPr>
          <w:rFonts w:ascii="Arial" w:hAnsi="Arial" w:cs="Arial"/>
          <w:i/>
        </w:rPr>
        <w:t>33</w:t>
      </w:r>
      <w:r w:rsidRPr="008B176E">
        <w:rPr>
          <w:rFonts w:ascii="Arial" w:hAnsi="Arial" w:cs="Arial"/>
        </w:rPr>
        <w:t>(5), 448-462.</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Frenk, J. </w:t>
      </w:r>
      <w:r w:rsidRPr="008B176E">
        <w:rPr>
          <w:rFonts w:ascii="Arial" w:hAnsi="Arial" w:cs="Arial"/>
          <w:i/>
        </w:rPr>
        <w:t>et al.</w:t>
      </w:r>
      <w:r w:rsidRPr="008B176E">
        <w:rPr>
          <w:rFonts w:ascii="Arial" w:hAnsi="Arial" w:cs="Arial"/>
        </w:rPr>
        <w:t xml:space="preserve"> (1991). La transición epidemiológica en América Latina. </w:t>
      </w:r>
      <w:r w:rsidRPr="008B176E">
        <w:rPr>
          <w:rFonts w:ascii="Arial" w:hAnsi="Arial" w:cs="Arial"/>
          <w:i/>
        </w:rPr>
        <w:t>Boletín de la Oficina Sanitaria Panamericana</w:t>
      </w:r>
      <w:r w:rsidRPr="008B176E">
        <w:rPr>
          <w:rFonts w:ascii="Arial" w:hAnsi="Arial" w:cs="Arial"/>
        </w:rPr>
        <w:t xml:space="preserve">, </w:t>
      </w:r>
      <w:r w:rsidRPr="008B176E">
        <w:rPr>
          <w:rFonts w:ascii="Arial" w:hAnsi="Arial" w:cs="Arial"/>
          <w:i/>
        </w:rPr>
        <w:t>111</w:t>
      </w:r>
      <w:r w:rsidRPr="008B176E">
        <w:rPr>
          <w:rFonts w:ascii="Arial" w:hAnsi="Arial" w:cs="Arial"/>
        </w:rPr>
        <w:t>(6), 485-496.</w:t>
      </w:r>
    </w:p>
    <w:p w:rsidR="008B176E" w:rsidRPr="008B176E" w:rsidRDefault="008B176E" w:rsidP="008B176E">
      <w:pPr>
        <w:pStyle w:val="Textonotapie"/>
        <w:rPr>
          <w:rFonts w:ascii="Arial" w:hAnsi="Arial" w:cs="Arial"/>
          <w:sz w:val="22"/>
          <w:szCs w:val="22"/>
          <w:lang w:val="en-US"/>
        </w:rPr>
      </w:pPr>
    </w:p>
    <w:p w:rsidR="008B176E" w:rsidRPr="008B176E" w:rsidRDefault="008B176E" w:rsidP="008B176E">
      <w:pPr>
        <w:pStyle w:val="Textonotapie"/>
        <w:rPr>
          <w:rFonts w:ascii="Arial" w:hAnsi="Arial" w:cs="Arial"/>
          <w:sz w:val="22"/>
          <w:szCs w:val="22"/>
          <w:lang w:val="en-US"/>
        </w:rPr>
      </w:pPr>
      <w:r w:rsidRPr="008B176E">
        <w:rPr>
          <w:rFonts w:ascii="Arial" w:hAnsi="Arial" w:cs="Arial"/>
          <w:sz w:val="22"/>
          <w:szCs w:val="22"/>
          <w:lang w:val="en-US"/>
        </w:rPr>
        <w:t xml:space="preserve">García, S. (2013). Cuenta México con pocas enfermeras especializadas en pacientes en estado crítico, </w:t>
      </w:r>
      <w:r w:rsidRPr="008B176E">
        <w:rPr>
          <w:rFonts w:ascii="Arial" w:hAnsi="Arial" w:cs="Arial"/>
          <w:i/>
          <w:sz w:val="22"/>
          <w:szCs w:val="22"/>
          <w:lang w:val="en-US"/>
        </w:rPr>
        <w:t>Boletín UNAM-DGCS-686</w:t>
      </w:r>
      <w:r w:rsidRPr="008B176E">
        <w:rPr>
          <w:rFonts w:ascii="Arial" w:hAnsi="Arial" w:cs="Arial"/>
          <w:sz w:val="22"/>
          <w:szCs w:val="22"/>
          <w:lang w:val="en-US"/>
        </w:rPr>
        <w:t>. Ciudad Universitaria. México.</w:t>
      </w:r>
    </w:p>
    <w:p w:rsidR="008B176E" w:rsidRPr="008B176E" w:rsidRDefault="008B176E" w:rsidP="008B176E">
      <w:pPr>
        <w:pStyle w:val="Textonotapie"/>
        <w:rPr>
          <w:rFonts w:ascii="Arial" w:hAnsi="Arial" w:cs="Arial"/>
          <w:sz w:val="22"/>
          <w:szCs w:val="22"/>
          <w:lang w:val="en-US"/>
        </w:rPr>
      </w:pPr>
    </w:p>
    <w:p w:rsidR="008B176E" w:rsidRPr="008B176E" w:rsidRDefault="008B176E" w:rsidP="008B176E">
      <w:pPr>
        <w:pStyle w:val="Sinespaciado"/>
        <w:jc w:val="both"/>
        <w:rPr>
          <w:rFonts w:ascii="Arial" w:hAnsi="Arial" w:cs="Arial"/>
        </w:rPr>
      </w:pPr>
      <w:r w:rsidRPr="008B176E">
        <w:rPr>
          <w:rFonts w:ascii="Arial" w:hAnsi="Arial" w:cs="Arial"/>
        </w:rPr>
        <w:t>Graue, E. (2015). Posicionamiento de la Academia Nacional de Medicina. En Fajardo, G., Santacruz, J. y C. Lavalle (Coords.),</w:t>
      </w:r>
      <w:r w:rsidRPr="008B176E">
        <w:rPr>
          <w:rFonts w:ascii="Arial" w:hAnsi="Arial" w:cs="Arial"/>
          <w:i/>
        </w:rPr>
        <w:t xml:space="preserve"> La formación de médicos especialistas en México. </w:t>
      </w:r>
      <w:r w:rsidRPr="008B176E">
        <w:rPr>
          <w:rFonts w:ascii="Arial" w:hAnsi="Arial" w:cs="Arial"/>
          <w:i/>
        </w:rPr>
        <w:lastRenderedPageBreak/>
        <w:t>Documento de postura</w:t>
      </w:r>
      <w:r w:rsidRPr="008B176E">
        <w:rPr>
          <w:rFonts w:ascii="Arial" w:hAnsi="Arial" w:cs="Arial"/>
        </w:rPr>
        <w:t xml:space="preserve"> (pp. 235-243). México: Academia Nacional de Medicina de México y Consejo Nacional de Ciencia y Tecnología.</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Textonotapie"/>
        <w:rPr>
          <w:rFonts w:ascii="Arial" w:hAnsi="Arial" w:cs="Arial"/>
          <w:sz w:val="22"/>
          <w:szCs w:val="22"/>
        </w:rPr>
      </w:pPr>
      <w:r w:rsidRPr="008B176E">
        <w:rPr>
          <w:rFonts w:ascii="Arial" w:hAnsi="Arial" w:cs="Arial"/>
          <w:sz w:val="22"/>
          <w:szCs w:val="22"/>
        </w:rPr>
        <w:t xml:space="preserve">Graue, E. (2015). Prólogo. En </w:t>
      </w:r>
      <w:r w:rsidRPr="008B176E">
        <w:rPr>
          <w:rFonts w:ascii="Arial" w:hAnsi="Arial" w:cs="Arial"/>
          <w:i/>
          <w:sz w:val="22"/>
          <w:szCs w:val="22"/>
        </w:rPr>
        <w:t>La formación de médicos especialistas en México. Documento de postura</w:t>
      </w:r>
      <w:r w:rsidRPr="008B176E">
        <w:rPr>
          <w:rFonts w:ascii="Arial" w:hAnsi="Arial" w:cs="Arial"/>
          <w:sz w:val="22"/>
          <w:szCs w:val="22"/>
        </w:rPr>
        <w:t xml:space="preserve"> (pp. XIII-XVI). Fajardo, G., Santacruz, J. y C. Lavalle (coords.). México: Academia Nacional de Medicina de México y Consejo Nacional de Ciencia y Tecnología de México.</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 xml:space="preserve">Gutiérrez, C. </w:t>
      </w:r>
      <w:r w:rsidRPr="008B176E">
        <w:rPr>
          <w:rFonts w:ascii="Arial" w:hAnsi="Arial" w:cs="Arial"/>
          <w:i/>
          <w:lang w:val="en-US"/>
        </w:rPr>
        <w:t>et al.</w:t>
      </w:r>
      <w:r w:rsidRPr="008B176E">
        <w:rPr>
          <w:rFonts w:ascii="Arial" w:hAnsi="Arial" w:cs="Arial"/>
          <w:lang w:val="en-US"/>
        </w:rPr>
        <w:t xml:space="preserve"> </w:t>
      </w:r>
      <w:r w:rsidRPr="008B176E">
        <w:rPr>
          <w:rFonts w:ascii="Arial" w:hAnsi="Arial" w:cs="Arial"/>
        </w:rPr>
        <w:t xml:space="preserve">(2017). Factores relacionados con la elección de una especialidad en medicina. </w:t>
      </w:r>
      <w:r w:rsidRPr="008B176E">
        <w:rPr>
          <w:rFonts w:ascii="Arial" w:hAnsi="Arial" w:cs="Arial"/>
          <w:i/>
          <w:lang w:val="en-US"/>
        </w:rPr>
        <w:t>Investigación en Educación Médica</w:t>
      </w:r>
      <w:r w:rsidRPr="008B176E">
        <w:rPr>
          <w:rFonts w:ascii="Arial" w:hAnsi="Arial" w:cs="Arial"/>
          <w:lang w:val="en-US"/>
        </w:rPr>
        <w:t xml:space="preserve">, </w:t>
      </w:r>
      <w:r w:rsidRPr="008B176E">
        <w:rPr>
          <w:rFonts w:ascii="Arial" w:hAnsi="Arial" w:cs="Arial"/>
          <w:i/>
          <w:lang w:val="en-US"/>
        </w:rPr>
        <w:t>6</w:t>
      </w:r>
      <w:r w:rsidRPr="008B176E">
        <w:rPr>
          <w:rFonts w:ascii="Arial" w:hAnsi="Arial" w:cs="Arial"/>
          <w:lang w:val="en-US"/>
        </w:rPr>
        <w:t>(23), 206-214.</w:t>
      </w:r>
    </w:p>
    <w:p w:rsidR="00D34F8C" w:rsidRDefault="00D34F8C"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Heinze, G. </w:t>
      </w:r>
      <w:r w:rsidRPr="008B176E">
        <w:rPr>
          <w:rFonts w:ascii="Arial" w:hAnsi="Arial" w:cs="Arial"/>
          <w:i/>
        </w:rPr>
        <w:t>et al.</w:t>
      </w:r>
      <w:r w:rsidRPr="008B176E">
        <w:rPr>
          <w:rFonts w:ascii="Arial" w:hAnsi="Arial" w:cs="Arial"/>
        </w:rPr>
        <w:t xml:space="preserve"> (2018). Los médicos especialistas en México. </w:t>
      </w:r>
      <w:r w:rsidRPr="008B176E">
        <w:rPr>
          <w:rFonts w:ascii="Arial" w:hAnsi="Arial" w:cs="Arial"/>
          <w:i/>
        </w:rPr>
        <w:t>Gaceta Médica de México</w:t>
      </w:r>
      <w:r w:rsidRPr="008B176E">
        <w:rPr>
          <w:rFonts w:ascii="Arial" w:hAnsi="Arial" w:cs="Arial"/>
        </w:rPr>
        <w:t>, 154, 342-351.</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Hernández, E. </w:t>
      </w:r>
      <w:r w:rsidRPr="008B176E">
        <w:rPr>
          <w:rFonts w:ascii="Arial" w:hAnsi="Arial" w:cs="Arial"/>
          <w:i/>
        </w:rPr>
        <w:t xml:space="preserve"> et al.</w:t>
      </w:r>
      <w:r w:rsidRPr="008B176E">
        <w:rPr>
          <w:rFonts w:ascii="Arial" w:hAnsi="Arial" w:cs="Arial"/>
        </w:rPr>
        <w:t xml:space="preserve"> (2012). Análisis del equilibrio entre oferta y demanda de profesionistas en el período 2001-2009. En Hernández, E. (Coord.), </w:t>
      </w:r>
      <w:r w:rsidRPr="008B176E">
        <w:rPr>
          <w:rFonts w:ascii="Arial" w:hAnsi="Arial" w:cs="Arial"/>
          <w:i/>
        </w:rPr>
        <w:t>Mercado laboral de profesionistas en México. Diagnóstico (2000-2009) y prospectiva (2010-2020)</w:t>
      </w:r>
      <w:r w:rsidRPr="008B176E">
        <w:rPr>
          <w:rFonts w:ascii="Arial" w:hAnsi="Arial" w:cs="Arial"/>
        </w:rPr>
        <w:t xml:space="preserve"> (pp. 251-267). México: Asociación Nacional de Universidades e Instituciones de Educación Superior. </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Heinze, G. </w:t>
      </w:r>
      <w:r w:rsidRPr="008B176E">
        <w:rPr>
          <w:rFonts w:ascii="Arial" w:hAnsi="Arial" w:cs="Arial"/>
          <w:i/>
        </w:rPr>
        <w:t>et al</w:t>
      </w:r>
      <w:r w:rsidRPr="008B176E">
        <w:rPr>
          <w:rFonts w:ascii="Arial" w:hAnsi="Arial" w:cs="Arial"/>
        </w:rPr>
        <w:t xml:space="preserve">. (2018). Los médicos especialistas en México. </w:t>
      </w:r>
      <w:r w:rsidRPr="00D34F8C">
        <w:rPr>
          <w:rFonts w:ascii="Arial" w:hAnsi="Arial" w:cs="Arial"/>
          <w:i/>
        </w:rPr>
        <w:t>Gaceta Médica de México</w:t>
      </w:r>
      <w:r w:rsidRPr="008B176E">
        <w:rPr>
          <w:rFonts w:ascii="Arial" w:hAnsi="Arial" w:cs="Arial"/>
        </w:rPr>
        <w:t>, vol. 154, pp. 342-351.</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INEGI (2016). </w:t>
      </w:r>
      <w:r w:rsidRPr="008B176E">
        <w:rPr>
          <w:rFonts w:ascii="Arial" w:hAnsi="Arial" w:cs="Arial"/>
          <w:i/>
        </w:rPr>
        <w:t>Encuesta Intercensal 2015</w:t>
      </w:r>
      <w:r w:rsidRPr="008B176E">
        <w:rPr>
          <w:rFonts w:ascii="Arial" w:hAnsi="Arial" w:cs="Arial"/>
        </w:rPr>
        <w:t xml:space="preserve">. INEGI. México. [En línea]. https://www.inegi.org.mx/programas/intercensal/2015/ [Consulta el 02 de febrero de 2019].  </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INEGI (2019). </w:t>
      </w:r>
      <w:r w:rsidRPr="008B176E">
        <w:rPr>
          <w:rFonts w:ascii="Arial" w:hAnsi="Arial" w:cs="Arial"/>
          <w:i/>
        </w:rPr>
        <w:t>Defunciones generales en México 2017</w:t>
      </w:r>
      <w:r w:rsidRPr="008B176E">
        <w:rPr>
          <w:rFonts w:ascii="Arial" w:hAnsi="Arial" w:cs="Arial"/>
        </w:rPr>
        <w:t>. INEGI. México. [En línea]. https://www.inegi.org.mx/programas/mortalidad/ [Consulta el 05 de febrero de 2019].</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INEGI (2019a). </w:t>
      </w:r>
      <w:r w:rsidRPr="008B176E">
        <w:rPr>
          <w:rFonts w:ascii="Arial" w:hAnsi="Arial" w:cs="Arial"/>
          <w:i/>
        </w:rPr>
        <w:t>Encuesta Nacional de Ocupación y Empleo (ENOE), 4to trimestre de 2018</w:t>
      </w:r>
      <w:r w:rsidRPr="008B176E">
        <w:rPr>
          <w:rFonts w:ascii="Arial" w:hAnsi="Arial" w:cs="Arial"/>
        </w:rPr>
        <w:t xml:space="preserve">. </w:t>
      </w:r>
    </w:p>
    <w:p w:rsidR="00D34F8C" w:rsidRDefault="00D34F8C"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INEGI. México. [En línea]. </w:t>
      </w:r>
      <w:r w:rsidRPr="00D34F8C">
        <w:rPr>
          <w:rStyle w:val="Hipervnculo"/>
          <w:rFonts w:ascii="Arial" w:hAnsi="Arial" w:cs="Arial"/>
          <w:color w:val="auto"/>
          <w:u w:val="none"/>
        </w:rPr>
        <w:t>https://www.inegi.org.mx/programas/enoe/15ymas/default.html</w:t>
      </w:r>
      <w:r w:rsidRPr="008B176E">
        <w:rPr>
          <w:rFonts w:ascii="Arial" w:hAnsi="Arial" w:cs="Arial"/>
        </w:rPr>
        <w:t xml:space="preserve"> [Consulta el 26 de marzo de 2019].</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Instituto Nacional de Salud Pública (2017). </w:t>
      </w:r>
      <w:r w:rsidRPr="008B176E">
        <w:rPr>
          <w:rFonts w:ascii="Arial" w:hAnsi="Arial" w:cs="Arial"/>
          <w:i/>
        </w:rPr>
        <w:t xml:space="preserve">Brechas en la disponibilidad de médicos y enfermeras especialistas en el sistema nacional de salud. </w:t>
      </w:r>
      <w:r w:rsidRPr="008B176E">
        <w:rPr>
          <w:rFonts w:ascii="Arial" w:hAnsi="Arial" w:cs="Arial"/>
        </w:rPr>
        <w:t>México. [En línea]. http://www.cifrhs.salud.gob.mx/site1/residencias/brechas_medico_enf_esp.pdf [Consulta el 14 de diciembre de 2018].</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rPr>
      </w:pPr>
      <w:r w:rsidRPr="008B176E">
        <w:rPr>
          <w:rFonts w:ascii="Arial" w:hAnsi="Arial" w:cs="Arial"/>
          <w:lang w:val="en-US"/>
        </w:rPr>
        <w:t xml:space="preserve">Knoll, M. (1997). The project method: Its vocational education origin and international development. </w:t>
      </w:r>
      <w:r w:rsidRPr="008B176E">
        <w:rPr>
          <w:rFonts w:ascii="Arial" w:hAnsi="Arial" w:cs="Arial"/>
          <w:i/>
        </w:rPr>
        <w:t>Journal of Industrial Teacher Education</w:t>
      </w:r>
      <w:r w:rsidRPr="008B176E">
        <w:rPr>
          <w:rFonts w:ascii="Arial" w:hAnsi="Arial" w:cs="Arial"/>
        </w:rPr>
        <w:t xml:space="preserve">, </w:t>
      </w:r>
      <w:r w:rsidRPr="008B176E">
        <w:rPr>
          <w:rFonts w:ascii="Arial" w:hAnsi="Arial" w:cs="Arial"/>
          <w:i/>
        </w:rPr>
        <w:t>34</w:t>
      </w:r>
      <w:r w:rsidRPr="008B176E">
        <w:rPr>
          <w:rFonts w:ascii="Arial" w:hAnsi="Arial" w:cs="Arial"/>
        </w:rPr>
        <w:t>(3), 59-80.</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Ley General de Educación. Diario Oficial de la Federación, Ciudad de México, México, 19 de enero de 2018.</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Ley General de Salud. Diario Oficial de la Federación, Ciudad de México, México, 12 de julio de 2018.</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Lozano, R. </w:t>
      </w:r>
      <w:r w:rsidRPr="008B176E">
        <w:rPr>
          <w:rFonts w:ascii="Arial" w:hAnsi="Arial" w:cs="Arial"/>
          <w:i/>
        </w:rPr>
        <w:t xml:space="preserve"> et al.</w:t>
      </w:r>
      <w:r w:rsidRPr="008B176E">
        <w:rPr>
          <w:rFonts w:ascii="Arial" w:hAnsi="Arial" w:cs="Arial"/>
        </w:rPr>
        <w:t xml:space="preserve"> (2013). La carga de enfermedad, lesiones, factores de riesgo y desafíos para el sistema de salud en México. </w:t>
      </w:r>
      <w:r w:rsidRPr="008B176E">
        <w:rPr>
          <w:rFonts w:ascii="Arial" w:hAnsi="Arial" w:cs="Arial"/>
          <w:i/>
        </w:rPr>
        <w:t>Salud Pública de México</w:t>
      </w:r>
      <w:r w:rsidRPr="008B176E">
        <w:rPr>
          <w:rFonts w:ascii="Arial" w:hAnsi="Arial" w:cs="Arial"/>
        </w:rPr>
        <w:t xml:space="preserve">, </w:t>
      </w:r>
      <w:r w:rsidRPr="008B176E">
        <w:rPr>
          <w:rFonts w:ascii="Arial" w:hAnsi="Arial" w:cs="Arial"/>
          <w:i/>
        </w:rPr>
        <w:t>55</w:t>
      </w:r>
      <w:r w:rsidRPr="008B176E">
        <w:rPr>
          <w:rFonts w:ascii="Arial" w:hAnsi="Arial" w:cs="Arial"/>
        </w:rPr>
        <w:t>(6), 580-594.</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 xml:space="preserve">Mateos, J. (2004). Neuroética y el enfermo en estado crítico. </w:t>
      </w:r>
      <w:r w:rsidRPr="008B176E">
        <w:rPr>
          <w:rFonts w:ascii="Arial" w:hAnsi="Arial" w:cs="Arial"/>
          <w:i/>
          <w:lang w:val="en-US"/>
        </w:rPr>
        <w:t>Archivos de Neurociencias</w:t>
      </w:r>
      <w:r w:rsidRPr="008B176E">
        <w:rPr>
          <w:rFonts w:ascii="Arial" w:hAnsi="Arial" w:cs="Arial"/>
          <w:lang w:val="en-US"/>
        </w:rPr>
        <w:t>, 9 (3). pp. 13-124.</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rPr>
      </w:pPr>
      <w:r w:rsidRPr="008B176E">
        <w:rPr>
          <w:rFonts w:ascii="Arial" w:hAnsi="Arial" w:cs="Arial"/>
          <w:lang w:val="en-US"/>
        </w:rPr>
        <w:t>Meara, J.</w:t>
      </w:r>
      <w:r w:rsidRPr="008B176E">
        <w:rPr>
          <w:rFonts w:ascii="Arial" w:hAnsi="Arial" w:cs="Arial"/>
          <w:i/>
          <w:lang w:val="en-US"/>
        </w:rPr>
        <w:t>et al.</w:t>
      </w:r>
      <w:r w:rsidRPr="008B176E">
        <w:rPr>
          <w:rFonts w:ascii="Arial" w:hAnsi="Arial" w:cs="Arial"/>
          <w:lang w:val="en-US"/>
        </w:rPr>
        <w:t xml:space="preserve"> (2015). Global Surgery 2030: Evidence and solutions for achieving healt, welfare, and economic development. </w:t>
      </w:r>
      <w:r w:rsidRPr="008B176E">
        <w:rPr>
          <w:rFonts w:ascii="Arial" w:hAnsi="Arial" w:cs="Arial"/>
          <w:i/>
        </w:rPr>
        <w:t>The Lancet</w:t>
      </w:r>
      <w:r w:rsidRPr="008B176E">
        <w:rPr>
          <w:rFonts w:ascii="Arial" w:hAnsi="Arial" w:cs="Arial"/>
        </w:rPr>
        <w:t xml:space="preserve">, </w:t>
      </w:r>
      <w:r w:rsidRPr="008B176E">
        <w:rPr>
          <w:rFonts w:ascii="Arial" w:hAnsi="Arial" w:cs="Arial"/>
          <w:i/>
        </w:rPr>
        <w:t>386</w:t>
      </w:r>
      <w:r w:rsidRPr="008B176E">
        <w:rPr>
          <w:rFonts w:ascii="Arial" w:hAnsi="Arial" w:cs="Arial"/>
        </w:rPr>
        <w:t>(9993), 569-624.</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Mina, A. (2010). Evolución de la mortalidad: Pasado, presente y futuro. En B. García y M. Ordorica (Coords.), </w:t>
      </w:r>
      <w:r w:rsidRPr="008B176E">
        <w:rPr>
          <w:rFonts w:ascii="Arial" w:hAnsi="Arial" w:cs="Arial"/>
          <w:i/>
        </w:rPr>
        <w:t>Los grandes problemas de México: Población (</w:t>
      </w:r>
      <w:r w:rsidRPr="008B176E">
        <w:rPr>
          <w:rFonts w:ascii="Arial" w:hAnsi="Arial" w:cs="Arial"/>
        </w:rPr>
        <w:t>pp.79-104)</w:t>
      </w:r>
      <w:r w:rsidRPr="008B176E">
        <w:rPr>
          <w:rFonts w:ascii="Arial" w:hAnsi="Arial" w:cs="Arial"/>
          <w:i/>
        </w:rPr>
        <w:t>.</w:t>
      </w:r>
      <w:r w:rsidRPr="008B176E">
        <w:rPr>
          <w:rFonts w:ascii="Arial" w:hAnsi="Arial" w:cs="Arial"/>
        </w:rPr>
        <w:t xml:space="preserve"> México: El Colegio de México.</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Negrete, M. (2003). El envejecimiento poblacional en la Ciudad de México: Evolución y pautas de distribución espacial entre 1970 y 2000. </w:t>
      </w:r>
      <w:r w:rsidRPr="008B176E">
        <w:rPr>
          <w:rFonts w:ascii="Arial" w:hAnsi="Arial" w:cs="Arial"/>
          <w:i/>
        </w:rPr>
        <w:t>Papeles de Población</w:t>
      </w:r>
      <w:r w:rsidRPr="008B176E">
        <w:rPr>
          <w:rFonts w:ascii="Arial" w:hAnsi="Arial" w:cs="Arial"/>
        </w:rPr>
        <w:t xml:space="preserve">, </w:t>
      </w:r>
      <w:r w:rsidRPr="008B176E">
        <w:rPr>
          <w:rFonts w:ascii="Arial" w:hAnsi="Arial" w:cs="Arial"/>
          <w:i/>
        </w:rPr>
        <w:t>9</w:t>
      </w:r>
      <w:r w:rsidRPr="008B176E">
        <w:rPr>
          <w:rFonts w:ascii="Arial" w:hAnsi="Arial" w:cs="Arial"/>
        </w:rPr>
        <w:t>(37), 107-127.</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Nigenda, G. </w:t>
      </w:r>
      <w:r w:rsidRPr="008B176E">
        <w:rPr>
          <w:rFonts w:ascii="Arial" w:hAnsi="Arial" w:cs="Arial"/>
          <w:i/>
        </w:rPr>
        <w:t>et al</w:t>
      </w:r>
      <w:r w:rsidRPr="008B176E">
        <w:rPr>
          <w:rFonts w:ascii="Arial" w:hAnsi="Arial" w:cs="Arial"/>
        </w:rPr>
        <w:t xml:space="preserve">. (2016). Eficiencia de los recursos humanos en salud: Una aproximación a su análisis en México. </w:t>
      </w:r>
      <w:r w:rsidRPr="008B176E">
        <w:rPr>
          <w:rFonts w:ascii="Arial" w:hAnsi="Arial" w:cs="Arial"/>
          <w:i/>
        </w:rPr>
        <w:t>Salud Pública de México</w:t>
      </w:r>
      <w:r w:rsidRPr="008B176E">
        <w:rPr>
          <w:rFonts w:ascii="Arial" w:hAnsi="Arial" w:cs="Arial"/>
        </w:rPr>
        <w:t xml:space="preserve">, </w:t>
      </w:r>
      <w:r w:rsidRPr="008B176E">
        <w:rPr>
          <w:rFonts w:ascii="Arial" w:hAnsi="Arial" w:cs="Arial"/>
          <w:i/>
        </w:rPr>
        <w:t>58</w:t>
      </w:r>
      <w:r w:rsidRPr="008B176E">
        <w:rPr>
          <w:rFonts w:ascii="Arial" w:hAnsi="Arial" w:cs="Arial"/>
        </w:rPr>
        <w:t>(5), 533-542.</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Norma Oficial Mexicana NOM-016-SSA3-2012, Que establece las características mínimas de infraestructura y equipamiento de hospitales y consultorios de atención médica especializada. Publicada el 8 de enero de 2013.</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Norma Oficial Mexicana NOM-168-SSA1-1998, del expediente clínico. Publicada el 30 de septiembre de 1999 y modificada el 22 de agosto de 2003.</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Norma Oficial Mexicana NOM-001-SSA3-2012, Educación en salud. Para la organización y funcionamiento de residencias médicas. Publicada el 4 de enero de 2013.</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Norma Oficial Mexicana NOM-027-SSA3-2013, Que establece los criterios de funcionamiento y atención en los servicios de urgencias de los establecimientos para la atención médica. Publicada el 4 de septiembre de 2013.</w:t>
      </w:r>
    </w:p>
    <w:p w:rsidR="008B176E" w:rsidRPr="008B176E" w:rsidRDefault="008B176E"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lang w:val="en-US"/>
        </w:rPr>
      </w:pPr>
      <w:r w:rsidRPr="008B176E">
        <w:rPr>
          <w:rFonts w:ascii="Arial" w:hAnsi="Arial" w:cs="Arial"/>
          <w:lang w:val="en-US"/>
        </w:rPr>
        <w:t>Norma Oficial Mexicana NOM-025-SSA3-2013, Para la organización y funcionamiento de las unidades de cuidados intensivos.</w:t>
      </w:r>
    </w:p>
    <w:p w:rsidR="00D34F8C" w:rsidRDefault="00D34F8C" w:rsidP="008B176E">
      <w:pPr>
        <w:pStyle w:val="Sinespaciado"/>
        <w:jc w:val="both"/>
        <w:rPr>
          <w:rFonts w:ascii="Arial" w:hAnsi="Arial" w:cs="Arial"/>
          <w:lang w:val="en-US"/>
        </w:rPr>
      </w:pPr>
    </w:p>
    <w:p w:rsidR="008B176E" w:rsidRPr="008B176E" w:rsidRDefault="008B176E" w:rsidP="008B176E">
      <w:pPr>
        <w:pStyle w:val="Sinespaciado"/>
        <w:jc w:val="both"/>
        <w:rPr>
          <w:rFonts w:ascii="Arial" w:hAnsi="Arial" w:cs="Arial"/>
        </w:rPr>
      </w:pPr>
      <w:r w:rsidRPr="008B176E">
        <w:rPr>
          <w:rFonts w:ascii="Arial" w:hAnsi="Arial" w:cs="Arial"/>
          <w:lang w:val="en-US"/>
        </w:rPr>
        <w:t>Norma Oficial Mexicana NOM-017-SSA2-2012, Para la vigilancia epidemiológica.</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OCDE (2017). </w:t>
      </w:r>
      <w:r w:rsidRPr="008B176E">
        <w:rPr>
          <w:rFonts w:ascii="Arial" w:hAnsi="Arial" w:cs="Arial"/>
          <w:i/>
          <w:lang w:val="en-US"/>
        </w:rPr>
        <w:t>Health at a Glance 2017: OECD Indicators</w:t>
      </w:r>
      <w:r w:rsidRPr="008B176E">
        <w:rPr>
          <w:rFonts w:ascii="Arial" w:hAnsi="Arial" w:cs="Arial"/>
          <w:lang w:val="en-US"/>
        </w:rPr>
        <w:t xml:space="preserve">. </w:t>
      </w:r>
      <w:r w:rsidRPr="008B176E">
        <w:rPr>
          <w:rFonts w:ascii="Arial" w:hAnsi="Arial" w:cs="Arial"/>
        </w:rPr>
        <w:t xml:space="preserve">Francia: OCDE Publicaciones. </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Ordorica, M. (2010). Las proyecciones de población hasta mitad del siglo XXI.  En B. García y M. Ordorica (Coords.), </w:t>
      </w:r>
      <w:r w:rsidRPr="008B176E">
        <w:rPr>
          <w:rFonts w:ascii="Arial" w:hAnsi="Arial" w:cs="Arial"/>
          <w:i/>
        </w:rPr>
        <w:t>Los grandes problemas de México: Población</w:t>
      </w:r>
      <w:r w:rsidRPr="008B176E">
        <w:rPr>
          <w:rFonts w:ascii="Arial" w:hAnsi="Arial" w:cs="Arial"/>
        </w:rPr>
        <w:t xml:space="preserve"> (pp.29-52). México: El Colegio de México.</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Ortiz, M. y L. Gerónimo (2008). El envejecimiento en México. Aspectos territoriales y repercusiones sociales. </w:t>
      </w:r>
      <w:r w:rsidRPr="008B176E">
        <w:rPr>
          <w:rFonts w:ascii="Arial" w:hAnsi="Arial" w:cs="Arial"/>
          <w:i/>
        </w:rPr>
        <w:t>Trayectorias</w:t>
      </w:r>
      <w:r w:rsidRPr="008B176E">
        <w:rPr>
          <w:rFonts w:ascii="Arial" w:hAnsi="Arial" w:cs="Arial"/>
        </w:rPr>
        <w:t xml:space="preserve">, </w:t>
      </w:r>
      <w:r w:rsidRPr="008B176E">
        <w:rPr>
          <w:rFonts w:ascii="Arial" w:hAnsi="Arial" w:cs="Arial"/>
          <w:i/>
        </w:rPr>
        <w:t>10</w:t>
      </w:r>
      <w:r w:rsidRPr="008B176E">
        <w:rPr>
          <w:rFonts w:ascii="Arial" w:hAnsi="Arial" w:cs="Arial"/>
        </w:rPr>
        <w:t>(26), 79-92.</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Plancarte, R. y R. Carrillo (2015). Anestesiología. En Ruelas, E., Lifshitz, A. y M. Mercado (Coords.), </w:t>
      </w:r>
      <w:r w:rsidRPr="008B176E">
        <w:rPr>
          <w:rFonts w:ascii="Arial" w:hAnsi="Arial" w:cs="Arial"/>
          <w:i/>
        </w:rPr>
        <w:t>Estado del Arte de la Medicina: 2013-2014 Cirugía</w:t>
      </w:r>
      <w:r w:rsidRPr="008B176E">
        <w:rPr>
          <w:rFonts w:ascii="Arial" w:hAnsi="Arial" w:cs="Arial"/>
        </w:rPr>
        <w:t xml:space="preserve"> (pp. 1-12). México: Academia Nacional de Medicina de México y Consejo Nacional de Ciencia y Tecnología de México.</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lastRenderedPageBreak/>
        <w:t xml:space="preserve">Querido, S. </w:t>
      </w:r>
      <w:r w:rsidRPr="008B176E">
        <w:rPr>
          <w:rFonts w:ascii="Arial" w:hAnsi="Arial" w:cs="Arial"/>
          <w:i/>
        </w:rPr>
        <w:t>et al</w:t>
      </w:r>
      <w:r w:rsidRPr="008B176E">
        <w:rPr>
          <w:rFonts w:ascii="Arial" w:hAnsi="Arial" w:cs="Arial"/>
        </w:rPr>
        <w:t>. (2016). Dynamics of career choice among students in undergraduate medical courses. A BEME systematic review: BEME Guide No. 33. Medical Teacher, vol. 38 (1), pp. 18-29.</w:t>
      </w:r>
    </w:p>
    <w:p w:rsidR="001D15A1" w:rsidRDefault="001D15A1" w:rsidP="008B176E">
      <w:pPr>
        <w:pStyle w:val="Sinespaciado"/>
        <w:jc w:val="both"/>
        <w:rPr>
          <w:rFonts w:ascii="Arial" w:hAnsi="Arial" w:cs="Arial"/>
          <w:lang w:val="en-US"/>
        </w:rPr>
      </w:pPr>
    </w:p>
    <w:p w:rsidR="008B176E" w:rsidRPr="008B176E" w:rsidRDefault="001D15A1" w:rsidP="008B176E">
      <w:pPr>
        <w:pStyle w:val="Sinespaciado"/>
        <w:jc w:val="both"/>
        <w:rPr>
          <w:rFonts w:ascii="Arial" w:hAnsi="Arial" w:cs="Arial"/>
        </w:rPr>
      </w:pPr>
      <w:r w:rsidRPr="008B176E">
        <w:rPr>
          <w:rFonts w:ascii="Arial" w:hAnsi="Arial" w:cs="Arial"/>
          <w:lang w:val="en-US"/>
        </w:rPr>
        <w:t>Reglamento de la ley de voluntad anticipada para el Distrito Federal. Gaceta Oficial del D.F. 4 de abril de 2008.</w:t>
      </w:r>
    </w:p>
    <w:p w:rsidR="001D15A1" w:rsidRDefault="001D15A1"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bookmarkStart w:id="0" w:name="_GoBack"/>
      <w:bookmarkEnd w:id="0"/>
      <w:r w:rsidRPr="008B176E">
        <w:rPr>
          <w:rFonts w:ascii="Arial" w:hAnsi="Arial" w:cs="Arial"/>
        </w:rPr>
        <w:t xml:space="preserve">Rodríguez, R. (1989) Metodología para el análisis demográfico de la eficiencia terminal, la deserción y el rezago escolar. En Santoyo, R. (Coord.), </w:t>
      </w:r>
      <w:r w:rsidRPr="008B176E">
        <w:rPr>
          <w:rFonts w:ascii="Arial" w:hAnsi="Arial" w:cs="Arial"/>
          <w:i/>
        </w:rPr>
        <w:t>La trayectoria escolar en la educación superior. Panorámica de la investigación y acercamientos metodológicos</w:t>
      </w:r>
      <w:r w:rsidRPr="008B176E">
        <w:rPr>
          <w:rFonts w:ascii="Arial" w:hAnsi="Arial" w:cs="Arial"/>
        </w:rPr>
        <w:t xml:space="preserve"> (pp. 225-280). México: ANUIES.</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Ruelas, E. y A. Alonso (2015). Imágenes generales sobre la posible evolución futura de las especialidades médicas. En Ruelas, E. y A. Alonso (Eds.), </w:t>
      </w:r>
      <w:r w:rsidRPr="008B176E">
        <w:rPr>
          <w:rFonts w:ascii="Arial" w:hAnsi="Arial" w:cs="Arial"/>
          <w:i/>
        </w:rPr>
        <w:t>Futuros de las especialidades médicas en México</w:t>
      </w:r>
      <w:r w:rsidRPr="008B176E">
        <w:rPr>
          <w:rFonts w:ascii="Arial" w:hAnsi="Arial" w:cs="Arial"/>
        </w:rPr>
        <w:t xml:space="preserve"> (pp. 105-122). México: Academia Nacional de Medicina de México y Consejo Nacional de Ciencia y Tecnología de México.</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Sánchez, D. (2007). Envejecimiento demográfico urbano y sus repercusiones socioespaciales en México. Retos de la planeación gerontológica. </w:t>
      </w:r>
      <w:r w:rsidRPr="008B176E">
        <w:rPr>
          <w:rFonts w:ascii="Arial" w:hAnsi="Arial" w:cs="Arial"/>
          <w:i/>
        </w:rPr>
        <w:t>Revista de Geografía Norte Grande</w:t>
      </w:r>
      <w:r w:rsidRPr="008B176E">
        <w:rPr>
          <w:rFonts w:ascii="Arial" w:hAnsi="Arial" w:cs="Arial"/>
        </w:rPr>
        <w:t>, 38, 45-61.</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Santacruz, J. </w:t>
      </w:r>
      <w:r w:rsidRPr="008B176E">
        <w:rPr>
          <w:rFonts w:ascii="Arial" w:hAnsi="Arial" w:cs="Arial"/>
          <w:i/>
        </w:rPr>
        <w:t xml:space="preserve"> et al.</w:t>
      </w:r>
      <w:r w:rsidRPr="008B176E">
        <w:rPr>
          <w:rFonts w:ascii="Arial" w:hAnsi="Arial" w:cs="Arial"/>
        </w:rPr>
        <w:t xml:space="preserve"> (2015). Metodología para estimar el número de médicos especialistas en México. En Fajardo, G., Santacruz, J. y C. Lavalle (Coords.), </w:t>
      </w:r>
      <w:r w:rsidRPr="008B176E">
        <w:rPr>
          <w:rFonts w:ascii="Arial" w:hAnsi="Arial" w:cs="Arial"/>
          <w:i/>
        </w:rPr>
        <w:t>La formación de médicos especialistas en México. Documento de postura</w:t>
      </w:r>
      <w:r w:rsidRPr="008B176E">
        <w:rPr>
          <w:rFonts w:ascii="Arial" w:hAnsi="Arial" w:cs="Arial"/>
        </w:rPr>
        <w:t xml:space="preserve"> (pp. 71-152). México: Academia Nacional de Medicina de México y Consejo Nacional de Ciencia y Tecnología.</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Secretaría de Salud (s.f.). </w:t>
      </w:r>
      <w:r w:rsidRPr="008B176E">
        <w:rPr>
          <w:rFonts w:ascii="Arial" w:hAnsi="Arial" w:cs="Arial"/>
          <w:i/>
        </w:rPr>
        <w:t>Anuario de Morbilidad de México, 1984-2017</w:t>
      </w:r>
      <w:r w:rsidRPr="008B176E">
        <w:rPr>
          <w:rFonts w:ascii="Arial" w:hAnsi="Arial" w:cs="Arial"/>
        </w:rPr>
        <w:t xml:space="preserve">. [En línea]. http://187.191.75.115/anuario/html/morbilidad_nacional.html [Consulta el 14 de febrero de 2019]. </w:t>
      </w:r>
    </w:p>
    <w:p w:rsidR="008B176E" w:rsidRPr="008B176E" w:rsidRDefault="008B176E" w:rsidP="008B176E">
      <w:pPr>
        <w:spacing w:after="0" w:line="240" w:lineRule="auto"/>
        <w:jc w:val="both"/>
        <w:rPr>
          <w:rFonts w:ascii="Arial" w:eastAsia="Calibri" w:hAnsi="Arial" w:cs="Arial"/>
        </w:rPr>
      </w:pPr>
    </w:p>
    <w:p w:rsidR="008B176E" w:rsidRPr="008B176E" w:rsidRDefault="008B176E" w:rsidP="008B176E">
      <w:pPr>
        <w:pStyle w:val="Sinespaciado"/>
        <w:jc w:val="both"/>
        <w:rPr>
          <w:rFonts w:ascii="Arial" w:hAnsi="Arial" w:cs="Arial"/>
        </w:rPr>
      </w:pPr>
      <w:r w:rsidRPr="008B176E">
        <w:rPr>
          <w:rFonts w:ascii="Arial" w:hAnsi="Arial" w:cs="Arial"/>
        </w:rPr>
        <w:t xml:space="preserve">Solís, P. (1999). El ingreso a la cuarta edad en México: Una aproximación a su intensidad, calendario e implicaciones en el apoyo familiar y social de los ancianos. </w:t>
      </w:r>
      <w:r w:rsidRPr="008B176E">
        <w:rPr>
          <w:rFonts w:ascii="Arial" w:hAnsi="Arial" w:cs="Arial"/>
          <w:i/>
        </w:rPr>
        <w:t>Papeles de Población</w:t>
      </w:r>
      <w:r w:rsidRPr="008B176E">
        <w:rPr>
          <w:rFonts w:ascii="Arial" w:hAnsi="Arial" w:cs="Arial"/>
        </w:rPr>
        <w:t xml:space="preserve">, </w:t>
      </w:r>
      <w:r w:rsidRPr="008B176E">
        <w:rPr>
          <w:rFonts w:ascii="Arial" w:hAnsi="Arial" w:cs="Arial"/>
          <w:i/>
        </w:rPr>
        <w:t>5</w:t>
      </w:r>
      <w:r w:rsidRPr="008B176E">
        <w:rPr>
          <w:rFonts w:ascii="Arial" w:hAnsi="Arial" w:cs="Arial"/>
        </w:rPr>
        <w:t>(19), 43-63.</w:t>
      </w:r>
    </w:p>
    <w:p w:rsidR="008B176E" w:rsidRPr="008B176E" w:rsidRDefault="008B176E" w:rsidP="008B176E">
      <w:pPr>
        <w:pStyle w:val="Sinespaciado"/>
        <w:jc w:val="both"/>
        <w:rPr>
          <w:rFonts w:ascii="Arial" w:hAnsi="Arial" w:cs="Arial"/>
        </w:rPr>
      </w:pPr>
    </w:p>
    <w:p w:rsidR="008B176E" w:rsidRPr="008B176E" w:rsidRDefault="008B176E" w:rsidP="008B176E">
      <w:pPr>
        <w:pStyle w:val="Sinespaciado"/>
        <w:jc w:val="both"/>
        <w:rPr>
          <w:rFonts w:ascii="Arial" w:hAnsi="Arial" w:cs="Arial"/>
        </w:rPr>
      </w:pPr>
      <w:r w:rsidRPr="008B176E">
        <w:rPr>
          <w:rFonts w:ascii="Arial" w:hAnsi="Arial" w:cs="Arial"/>
        </w:rPr>
        <w:t>Vásquez, H., Revilla, E., Raymundo, C., Gaytán, B., Terrazas, V. (2017). Características epidemiológicas de los pacientes con enfermedad crítica crónica. Un estudio observacional ambispectivo. Medicina Crítica y Terapia Intensiva (México), 31 (1), pp. 31-35.</w:t>
      </w:r>
    </w:p>
    <w:p w:rsidR="008B176E" w:rsidRPr="008B176E" w:rsidRDefault="008B176E" w:rsidP="008B176E">
      <w:pPr>
        <w:pStyle w:val="Sinespaciado"/>
        <w:jc w:val="both"/>
        <w:rPr>
          <w:rFonts w:ascii="Arial" w:hAnsi="Arial" w:cs="Arial"/>
        </w:rPr>
      </w:pPr>
    </w:p>
    <w:p w:rsidR="008B176E" w:rsidRPr="006C3636" w:rsidRDefault="008B176E" w:rsidP="008B176E">
      <w:pPr>
        <w:pStyle w:val="Sinespaciado"/>
        <w:jc w:val="both"/>
        <w:rPr>
          <w:rFonts w:ascii="Arial" w:hAnsi="Arial" w:cs="Arial"/>
        </w:rPr>
      </w:pPr>
      <w:r w:rsidRPr="008B176E">
        <w:rPr>
          <w:rFonts w:ascii="Arial" w:hAnsi="Arial" w:cs="Arial"/>
        </w:rPr>
        <w:t>Villagómez, A. (2011). Perspectivas y tendencias en medicina crítica de los albores</w:t>
      </w:r>
      <w:r w:rsidRPr="006C3636">
        <w:rPr>
          <w:rFonts w:ascii="Arial" w:hAnsi="Arial" w:cs="Arial"/>
        </w:rPr>
        <w:t xml:space="preserve"> del siglo XXI. Medicina Crítica y Terapia Intensiva (México), 4, pp. 180-183.</w:t>
      </w:r>
    </w:p>
    <w:p w:rsidR="0057550B" w:rsidRDefault="0057550B" w:rsidP="009E49F4">
      <w:pPr>
        <w:tabs>
          <w:tab w:val="left" w:pos="1590"/>
        </w:tabs>
        <w:spacing w:after="0" w:line="360" w:lineRule="auto"/>
        <w:jc w:val="both"/>
        <w:rPr>
          <w:rFonts w:ascii="Arial" w:hAnsi="Arial" w:cs="Arial"/>
        </w:rPr>
      </w:pPr>
    </w:p>
    <w:sectPr w:rsidR="0057550B" w:rsidSect="002875CE">
      <w:headerReference w:type="default" r:id="rId36"/>
      <w:footerReference w:type="default" r:id="rId3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13EA" w:rsidRDefault="002113EA" w:rsidP="000E19B0">
      <w:pPr>
        <w:spacing w:after="0" w:line="240" w:lineRule="auto"/>
      </w:pPr>
      <w:r>
        <w:separator/>
      </w:r>
    </w:p>
  </w:endnote>
  <w:endnote w:type="continuationSeparator" w:id="0">
    <w:p w:rsidR="002113EA" w:rsidRDefault="002113EA" w:rsidP="000E1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Indivisa Text Sans">
    <w:panose1 w:val="00000000000000000000"/>
    <w:charset w:val="00"/>
    <w:family w:val="modern"/>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82714953"/>
      <w:docPartObj>
        <w:docPartGallery w:val="Page Numbers (Bottom of Page)"/>
        <w:docPartUnique/>
      </w:docPartObj>
    </w:sdtPr>
    <w:sdtContent>
      <w:p w:rsidR="00B43466" w:rsidRDefault="00B43466">
        <w:pPr>
          <w:pStyle w:val="Piedepgina"/>
          <w:jc w:val="right"/>
        </w:pPr>
        <w:r>
          <w:fldChar w:fldCharType="begin"/>
        </w:r>
        <w:r>
          <w:instrText>PAGE   \* MERGEFORMAT</w:instrText>
        </w:r>
        <w:r>
          <w:fldChar w:fldCharType="separate"/>
        </w:r>
        <w:r w:rsidR="001D15A1" w:rsidRPr="001D15A1">
          <w:rPr>
            <w:noProof/>
            <w:lang w:val="es-ES"/>
          </w:rPr>
          <w:t>69</w:t>
        </w:r>
        <w:r>
          <w:fldChar w:fldCharType="end"/>
        </w:r>
      </w:p>
    </w:sdtContent>
  </w:sdt>
  <w:p w:rsidR="00B43466" w:rsidRDefault="00B4346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13EA" w:rsidRDefault="002113EA" w:rsidP="000E19B0">
      <w:pPr>
        <w:spacing w:after="0" w:line="240" w:lineRule="auto"/>
      </w:pPr>
      <w:r>
        <w:separator/>
      </w:r>
    </w:p>
  </w:footnote>
  <w:footnote w:type="continuationSeparator" w:id="0">
    <w:p w:rsidR="002113EA" w:rsidRDefault="002113EA" w:rsidP="000E19B0">
      <w:pPr>
        <w:spacing w:after="0" w:line="240" w:lineRule="auto"/>
      </w:pPr>
      <w:r>
        <w:continuationSeparator/>
      </w:r>
    </w:p>
  </w:footnote>
  <w:footnote w:id="1">
    <w:p w:rsidR="00B43466" w:rsidRPr="00E57961" w:rsidRDefault="00B43466" w:rsidP="007A33D0">
      <w:pPr>
        <w:autoSpaceDE w:val="0"/>
        <w:autoSpaceDN w:val="0"/>
        <w:adjustRightInd w:val="0"/>
        <w:spacing w:after="0" w:line="240" w:lineRule="auto"/>
        <w:ind w:left="142" w:hanging="142"/>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Es reconocido el papel pionero de la Escuela de Medicina de la Universidad McMaster, de Canadá, así como el liderazgo e influencia de instituciones como Harvard Business School y Harvard Medical School.</w:t>
      </w:r>
    </w:p>
  </w:footnote>
  <w:footnote w:id="2">
    <w:p w:rsidR="00B43466" w:rsidRPr="00E57961" w:rsidRDefault="00B43466" w:rsidP="007A33D0">
      <w:pPr>
        <w:autoSpaceDE w:val="0"/>
        <w:autoSpaceDN w:val="0"/>
        <w:adjustRightInd w:val="0"/>
        <w:spacing w:after="0" w:line="240" w:lineRule="auto"/>
        <w:ind w:left="142" w:hanging="142"/>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B43466" w:rsidRPr="00E57961" w:rsidRDefault="00B43466" w:rsidP="007A33D0">
      <w:pPr>
        <w:autoSpaceDE w:val="0"/>
        <w:autoSpaceDN w:val="0"/>
        <w:adjustRightInd w:val="0"/>
        <w:spacing w:after="0" w:line="240" w:lineRule="auto"/>
        <w:ind w:left="142" w:hanging="142"/>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Tiene su origen en la Universidad de Harvard (aproximadamente en 1914), con el fin de que los estudiantes de Derecho, en el aprendizaje de las leyes, se enfrentaran a </w:t>
      </w:r>
      <w:r w:rsidRPr="00E57961">
        <w:rPr>
          <w:rFonts w:ascii="Arial" w:hAnsi="Arial" w:cs="Arial"/>
          <w:bCs/>
          <w:sz w:val="18"/>
          <w:szCs w:val="18"/>
        </w:rPr>
        <w:t>situaciones reales</w:t>
      </w:r>
      <w:r w:rsidRPr="00E57961">
        <w:rPr>
          <w:rFonts w:ascii="Arial" w:hAnsi="Arial" w:cs="Arial"/>
          <w:b/>
          <w:bCs/>
          <w:sz w:val="18"/>
          <w:szCs w:val="18"/>
        </w:rPr>
        <w:t xml:space="preserve"> </w:t>
      </w:r>
      <w:r w:rsidRPr="00E57961">
        <w:rPr>
          <w:rFonts w:ascii="Arial" w:hAnsi="Arial" w:cs="Arial"/>
          <w:sz w:val="18"/>
          <w:szCs w:val="18"/>
        </w:rPr>
        <w:t>y tuvieran que tomar decisiones, valorar actuaciones, emitir juicios fundamentados.</w:t>
      </w:r>
    </w:p>
  </w:footnote>
  <w:footnote w:id="4">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Mina, A. (2010). Evolución de la mortalidad: pasado, presente y futuro. </w:t>
      </w:r>
      <w:r w:rsidRPr="00E57961">
        <w:rPr>
          <w:rFonts w:ascii="Arial" w:hAnsi="Arial" w:cs="Arial"/>
          <w:i/>
          <w:sz w:val="18"/>
          <w:szCs w:val="18"/>
        </w:rPr>
        <w:t>Los grandes problemas de México. Población (</w:t>
      </w:r>
      <w:r w:rsidRPr="00E57961">
        <w:rPr>
          <w:rFonts w:ascii="Arial" w:hAnsi="Arial" w:cs="Arial"/>
          <w:sz w:val="18"/>
          <w:szCs w:val="18"/>
        </w:rPr>
        <w:t>pp.79-104)</w:t>
      </w:r>
      <w:r w:rsidRPr="00E57961">
        <w:rPr>
          <w:rFonts w:ascii="Arial" w:hAnsi="Arial" w:cs="Arial"/>
          <w:i/>
          <w:sz w:val="18"/>
          <w:szCs w:val="18"/>
        </w:rPr>
        <w:t>.</w:t>
      </w:r>
      <w:r w:rsidRPr="00E57961">
        <w:rPr>
          <w:rFonts w:ascii="Arial" w:hAnsi="Arial" w:cs="Arial"/>
          <w:sz w:val="18"/>
          <w:szCs w:val="18"/>
        </w:rPr>
        <w:t xml:space="preserve"> B. García y M. Ordorica (coords.). El Colegio de México: México, D.F.</w:t>
      </w:r>
    </w:p>
  </w:footnote>
  <w:footnote w:id="5">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Cárdenas, R. (2010). Desafíos de la atención a la salud. </w:t>
      </w:r>
      <w:r w:rsidRPr="00E57961">
        <w:rPr>
          <w:rFonts w:ascii="Arial" w:hAnsi="Arial" w:cs="Arial"/>
          <w:i/>
          <w:sz w:val="18"/>
          <w:szCs w:val="18"/>
        </w:rPr>
        <w:t>Los grandes problemas de México. Población (</w:t>
      </w:r>
      <w:r w:rsidRPr="00E57961">
        <w:rPr>
          <w:rFonts w:ascii="Arial" w:hAnsi="Arial" w:cs="Arial"/>
          <w:sz w:val="18"/>
          <w:szCs w:val="18"/>
        </w:rPr>
        <w:t>pp.105-136)</w:t>
      </w:r>
      <w:r w:rsidRPr="00E57961">
        <w:rPr>
          <w:rFonts w:ascii="Arial" w:hAnsi="Arial" w:cs="Arial"/>
          <w:i/>
          <w:sz w:val="18"/>
          <w:szCs w:val="18"/>
        </w:rPr>
        <w:t>.</w:t>
      </w:r>
      <w:r w:rsidRPr="00E57961">
        <w:rPr>
          <w:rFonts w:ascii="Arial" w:hAnsi="Arial" w:cs="Arial"/>
          <w:sz w:val="18"/>
          <w:szCs w:val="18"/>
        </w:rPr>
        <w:t xml:space="preserve"> B. García y M. Ordorica (coords.). El Colegio de México: México, D.F.</w:t>
      </w:r>
    </w:p>
  </w:footnote>
  <w:footnote w:id="6">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CONAPO (2018). Proyecciones de población de México y de las entidades federativas 2016-2050. Consultado el 1/02/2019 de http://www.conapo.gob.mx.</w:t>
      </w:r>
    </w:p>
  </w:footnote>
  <w:footnote w:id="7">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w:t>
      </w:r>
      <w:r w:rsidRPr="00E57961">
        <w:rPr>
          <w:rFonts w:ascii="Arial" w:hAnsi="Arial" w:cs="Arial"/>
          <w:i/>
          <w:sz w:val="18"/>
          <w:szCs w:val="18"/>
        </w:rPr>
        <w:t>Ibídem</w:t>
      </w:r>
      <w:r w:rsidRPr="00E57961">
        <w:rPr>
          <w:rFonts w:ascii="Arial" w:hAnsi="Arial" w:cs="Arial"/>
          <w:sz w:val="18"/>
          <w:szCs w:val="18"/>
        </w:rPr>
        <w:t>.</w:t>
      </w:r>
    </w:p>
  </w:footnote>
  <w:footnote w:id="8">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Ortiz, M., Gerónimo, L. (2008). El envejecimiento en México. Aspectos territoriales y repercusiones sociales. </w:t>
      </w:r>
      <w:r w:rsidRPr="00E57961">
        <w:rPr>
          <w:rFonts w:ascii="Arial" w:hAnsi="Arial" w:cs="Arial"/>
          <w:i/>
          <w:sz w:val="18"/>
          <w:szCs w:val="18"/>
        </w:rPr>
        <w:t>Trayectorias</w:t>
      </w:r>
      <w:r w:rsidRPr="00E57961">
        <w:rPr>
          <w:rFonts w:ascii="Arial" w:hAnsi="Arial" w:cs="Arial"/>
          <w:sz w:val="18"/>
          <w:szCs w:val="18"/>
        </w:rPr>
        <w:t>, 10(26), pp. 79-92.</w:t>
      </w:r>
    </w:p>
  </w:footnote>
  <w:footnote w:id="9">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CONAPO (2018), </w:t>
      </w:r>
      <w:r w:rsidRPr="00E57961">
        <w:rPr>
          <w:rFonts w:ascii="Arial" w:hAnsi="Arial" w:cs="Arial"/>
          <w:i/>
          <w:sz w:val="18"/>
          <w:szCs w:val="18"/>
        </w:rPr>
        <w:t>Op. cit.</w:t>
      </w:r>
      <w:r w:rsidRPr="00E57961">
        <w:rPr>
          <w:rFonts w:ascii="Arial" w:hAnsi="Arial" w:cs="Arial"/>
          <w:sz w:val="18"/>
          <w:szCs w:val="18"/>
        </w:rPr>
        <w:t>, s.p.</w:t>
      </w:r>
    </w:p>
  </w:footnote>
  <w:footnote w:id="10">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Sánchez, D. (2007). Envejecimiento demográfico urbano y sus repercusiones socioespaciales en México. Retos de la planeación gerontológica. </w:t>
      </w:r>
      <w:r w:rsidRPr="00E57961">
        <w:rPr>
          <w:rFonts w:ascii="Arial" w:hAnsi="Arial" w:cs="Arial"/>
          <w:i/>
          <w:sz w:val="18"/>
          <w:szCs w:val="18"/>
        </w:rPr>
        <w:t>Revista de Geografía Norte Grande</w:t>
      </w:r>
      <w:r w:rsidRPr="00E57961">
        <w:rPr>
          <w:rFonts w:ascii="Arial" w:hAnsi="Arial" w:cs="Arial"/>
          <w:sz w:val="18"/>
          <w:szCs w:val="18"/>
        </w:rPr>
        <w:t>, 38, pp. 45-61.</w:t>
      </w:r>
    </w:p>
  </w:footnote>
  <w:footnote w:id="11">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INEGI (2016). </w:t>
      </w:r>
      <w:r w:rsidRPr="00E57961">
        <w:rPr>
          <w:rFonts w:ascii="Arial" w:hAnsi="Arial" w:cs="Arial"/>
          <w:i/>
          <w:sz w:val="18"/>
          <w:szCs w:val="18"/>
        </w:rPr>
        <w:t>Encuesta Intercensal 2015</w:t>
      </w:r>
      <w:r w:rsidRPr="00E57961">
        <w:rPr>
          <w:rFonts w:ascii="Arial" w:hAnsi="Arial" w:cs="Arial"/>
          <w:sz w:val="18"/>
          <w:szCs w:val="18"/>
        </w:rPr>
        <w:t>. Consultado el 02/02/2019 de https://www.inegi.org.mx/programas/intercensal/2015/.</w:t>
      </w:r>
    </w:p>
  </w:footnote>
  <w:footnote w:id="12">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Negrete, M. (2003). El envejecimiento poblacional en la Ciudad de México: evolución y pautas de distribución espacial entre 1970 y 2000. </w:t>
      </w:r>
      <w:r w:rsidRPr="00E57961">
        <w:rPr>
          <w:rFonts w:ascii="Arial" w:hAnsi="Arial" w:cs="Arial"/>
          <w:i/>
          <w:sz w:val="18"/>
          <w:szCs w:val="18"/>
        </w:rPr>
        <w:t>Papeles de Población</w:t>
      </w:r>
      <w:r w:rsidRPr="00E57961">
        <w:rPr>
          <w:rFonts w:ascii="Arial" w:hAnsi="Arial" w:cs="Arial"/>
          <w:sz w:val="18"/>
          <w:szCs w:val="18"/>
        </w:rPr>
        <w:t>, 9(37), pp. 107-127.</w:t>
      </w:r>
    </w:p>
  </w:footnote>
  <w:footnote w:id="13">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Ordorica, M. (2010). Las proyecciones de población hasta mitad del siglo XXI. </w:t>
      </w:r>
      <w:r w:rsidRPr="00E57961">
        <w:rPr>
          <w:rFonts w:ascii="Arial" w:hAnsi="Arial" w:cs="Arial"/>
          <w:i/>
          <w:sz w:val="18"/>
          <w:szCs w:val="18"/>
        </w:rPr>
        <w:t>Los grandes problemas de México. Población</w:t>
      </w:r>
      <w:r w:rsidRPr="00E57961">
        <w:rPr>
          <w:rFonts w:ascii="Arial" w:hAnsi="Arial" w:cs="Arial"/>
          <w:sz w:val="18"/>
          <w:szCs w:val="18"/>
        </w:rPr>
        <w:t xml:space="preserve"> (pp.29-52). B. García y M. Ordorica (coords.). El Colegio de México: México, D.F.</w:t>
      </w:r>
    </w:p>
  </w:footnote>
  <w:footnote w:id="14">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Frenk, J. et al. (1991). La transición epidemiológica en América Latina (The epidemiologic transition in Latin America). </w:t>
      </w:r>
      <w:r w:rsidRPr="00E57961">
        <w:rPr>
          <w:rFonts w:ascii="Arial" w:hAnsi="Arial" w:cs="Arial"/>
          <w:i/>
          <w:sz w:val="18"/>
          <w:szCs w:val="18"/>
        </w:rPr>
        <w:t>Boletín de la Oficina Sanitaria Panamericana</w:t>
      </w:r>
      <w:r w:rsidRPr="00E57961">
        <w:rPr>
          <w:rFonts w:ascii="Arial" w:hAnsi="Arial" w:cs="Arial"/>
          <w:sz w:val="18"/>
          <w:szCs w:val="18"/>
        </w:rPr>
        <w:t>, 111(6); pp. 485-496.</w:t>
      </w:r>
    </w:p>
  </w:footnote>
  <w:footnote w:id="15">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Mina, </w:t>
      </w:r>
      <w:r w:rsidRPr="00E57961">
        <w:rPr>
          <w:rFonts w:ascii="Arial" w:hAnsi="Arial" w:cs="Arial"/>
          <w:i/>
          <w:sz w:val="18"/>
          <w:szCs w:val="18"/>
        </w:rPr>
        <w:t>Op. cit.</w:t>
      </w:r>
      <w:r w:rsidRPr="00E57961">
        <w:rPr>
          <w:rFonts w:ascii="Arial" w:hAnsi="Arial" w:cs="Arial"/>
          <w:sz w:val="18"/>
          <w:szCs w:val="18"/>
        </w:rPr>
        <w:t>, p.81.</w:t>
      </w:r>
    </w:p>
  </w:footnote>
  <w:footnote w:id="16">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Frenk, J., Bobadilla, J., Stern, C., Frejka, T., Lozano, R. (1991a). Elementos para una teoría de la transición en salud. </w:t>
      </w:r>
      <w:r w:rsidRPr="00E57961">
        <w:rPr>
          <w:rFonts w:ascii="Arial" w:hAnsi="Arial" w:cs="Arial"/>
          <w:i/>
          <w:sz w:val="18"/>
          <w:szCs w:val="18"/>
        </w:rPr>
        <w:t>Salud Pública de México</w:t>
      </w:r>
      <w:r w:rsidRPr="00E57961">
        <w:rPr>
          <w:rFonts w:ascii="Arial" w:hAnsi="Arial" w:cs="Arial"/>
          <w:sz w:val="18"/>
          <w:szCs w:val="18"/>
        </w:rPr>
        <w:t>, 33(5), pp. 448-462.</w:t>
      </w:r>
    </w:p>
  </w:footnote>
  <w:footnote w:id="17">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Frenk </w:t>
      </w:r>
      <w:r w:rsidRPr="00E57961">
        <w:rPr>
          <w:rFonts w:ascii="Arial" w:hAnsi="Arial" w:cs="Arial"/>
          <w:i/>
          <w:sz w:val="18"/>
          <w:szCs w:val="18"/>
        </w:rPr>
        <w:t>et.al.</w:t>
      </w:r>
      <w:r w:rsidRPr="00E57961">
        <w:rPr>
          <w:rFonts w:ascii="Arial" w:hAnsi="Arial" w:cs="Arial"/>
          <w:sz w:val="18"/>
          <w:szCs w:val="18"/>
        </w:rPr>
        <w:t xml:space="preserve">, </w:t>
      </w:r>
      <w:r w:rsidRPr="00E57961">
        <w:rPr>
          <w:rFonts w:ascii="Arial" w:hAnsi="Arial" w:cs="Arial"/>
          <w:i/>
          <w:sz w:val="18"/>
          <w:szCs w:val="18"/>
        </w:rPr>
        <w:t>Op. cit.</w:t>
      </w:r>
      <w:r w:rsidRPr="00E57961">
        <w:rPr>
          <w:rFonts w:ascii="Arial" w:hAnsi="Arial" w:cs="Arial"/>
          <w:sz w:val="18"/>
          <w:szCs w:val="18"/>
        </w:rPr>
        <w:t>, p. 487.</w:t>
      </w:r>
    </w:p>
  </w:footnote>
  <w:footnote w:id="18">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SSA (s.f.). Anuario de Morbilidad de México, 1984-2017. Consultado el 14/02/2019 de http://187.191.75.115/anuario/html/morbilidad_nacional.html</w:t>
      </w:r>
    </w:p>
  </w:footnote>
  <w:footnote w:id="19">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w:t>
      </w:r>
      <w:r w:rsidRPr="00E57961">
        <w:rPr>
          <w:rFonts w:ascii="Arial" w:hAnsi="Arial" w:cs="Arial"/>
          <w:i/>
          <w:sz w:val="18"/>
          <w:szCs w:val="18"/>
        </w:rPr>
        <w:t>Ibídem</w:t>
      </w:r>
      <w:r w:rsidRPr="00E57961">
        <w:rPr>
          <w:rFonts w:ascii="Arial" w:hAnsi="Arial" w:cs="Arial"/>
          <w:sz w:val="18"/>
          <w:szCs w:val="18"/>
        </w:rPr>
        <w:t>.</w:t>
      </w:r>
    </w:p>
  </w:footnote>
  <w:footnote w:id="20">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Mina, </w:t>
      </w:r>
      <w:r w:rsidRPr="00E57961">
        <w:rPr>
          <w:rFonts w:ascii="Arial" w:hAnsi="Arial" w:cs="Arial"/>
          <w:i/>
          <w:sz w:val="18"/>
          <w:szCs w:val="18"/>
        </w:rPr>
        <w:t>Op. cit.</w:t>
      </w:r>
      <w:r w:rsidRPr="00E57961">
        <w:rPr>
          <w:rFonts w:ascii="Arial" w:hAnsi="Arial" w:cs="Arial"/>
          <w:sz w:val="18"/>
          <w:szCs w:val="18"/>
        </w:rPr>
        <w:t>, p. 92.</w:t>
      </w:r>
    </w:p>
  </w:footnote>
  <w:footnote w:id="21">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Solís, P. (1999). El ingreso a la cuarta edad en México: una aproximación a su intensidad, calendario e implicaciones en el apoyo familiar y social de los ancianos. </w:t>
      </w:r>
      <w:r w:rsidRPr="00E57961">
        <w:rPr>
          <w:rFonts w:ascii="Arial" w:hAnsi="Arial" w:cs="Arial"/>
          <w:i/>
          <w:sz w:val="18"/>
          <w:szCs w:val="18"/>
        </w:rPr>
        <w:t>Papeles de Población</w:t>
      </w:r>
      <w:r w:rsidRPr="00E57961">
        <w:rPr>
          <w:rFonts w:ascii="Arial" w:hAnsi="Arial" w:cs="Arial"/>
          <w:sz w:val="18"/>
          <w:szCs w:val="18"/>
        </w:rPr>
        <w:t>, 5(19), pp. 43-63.</w:t>
      </w:r>
    </w:p>
  </w:footnote>
  <w:footnote w:id="22">
    <w:p w:rsidR="00B43466" w:rsidRDefault="00B43466" w:rsidP="002A12B4">
      <w:pPr>
        <w:pStyle w:val="Textonotapie"/>
      </w:pPr>
      <w:r>
        <w:rPr>
          <w:rStyle w:val="Refdenotaalpie"/>
        </w:rPr>
        <w:footnoteRef/>
      </w:r>
      <w:r>
        <w:t xml:space="preserve"> </w:t>
      </w:r>
      <w:r w:rsidRPr="009762E7">
        <w:rPr>
          <w:i/>
        </w:rPr>
        <w:t>Ibídem</w:t>
      </w:r>
      <w:r>
        <w:t>.</w:t>
      </w:r>
    </w:p>
  </w:footnote>
  <w:footnote w:id="23">
    <w:p w:rsidR="00B43466" w:rsidRDefault="00B43466" w:rsidP="002A12B4">
      <w:pPr>
        <w:pStyle w:val="Textonotapie"/>
      </w:pPr>
      <w:r>
        <w:rPr>
          <w:rStyle w:val="Refdenotaalpie"/>
        </w:rPr>
        <w:footnoteRef/>
      </w:r>
      <w:r>
        <w:t xml:space="preserve"> </w:t>
      </w:r>
      <w:r w:rsidRPr="00FD4BFF">
        <w:rPr>
          <w:i/>
        </w:rPr>
        <w:t>Ibídem</w:t>
      </w:r>
      <w:r>
        <w:t>.</w:t>
      </w:r>
    </w:p>
  </w:footnote>
  <w:footnote w:id="24">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Lozano, R., Gómez, H., Garrido, F., Jiménez, A., Campuzano, J., Franco, F.,…Murray, C. (2013). La carga de enfermedad, lesiones, factores de riesgo y desafíos para el sistema de salud en México. </w:t>
      </w:r>
      <w:r w:rsidRPr="00E57961">
        <w:rPr>
          <w:rFonts w:ascii="Arial" w:hAnsi="Arial" w:cs="Arial"/>
          <w:i/>
          <w:sz w:val="18"/>
          <w:szCs w:val="18"/>
        </w:rPr>
        <w:t>Salud Pública de México</w:t>
      </w:r>
      <w:r w:rsidRPr="00E57961">
        <w:rPr>
          <w:rFonts w:ascii="Arial" w:hAnsi="Arial" w:cs="Arial"/>
          <w:sz w:val="18"/>
          <w:szCs w:val="18"/>
        </w:rPr>
        <w:t>, 55(6), pp. 580-594.</w:t>
      </w:r>
    </w:p>
  </w:footnote>
  <w:footnote w:id="25">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Córdoba, J., Barriguete, J., Lara, A., Barquera, S., Rosas, M., Hernández, M.,…Aguilar, C. (2008). Las enfermedades crónicas no transmisibles en México: sinopsis epidemiológica y prevención integral. </w:t>
      </w:r>
      <w:r w:rsidRPr="00E57961">
        <w:rPr>
          <w:rFonts w:ascii="Arial" w:hAnsi="Arial" w:cs="Arial"/>
          <w:i/>
          <w:sz w:val="18"/>
          <w:szCs w:val="18"/>
        </w:rPr>
        <w:t>Salud Pública de México</w:t>
      </w:r>
      <w:r w:rsidRPr="00E57961">
        <w:rPr>
          <w:rFonts w:ascii="Arial" w:hAnsi="Arial" w:cs="Arial"/>
          <w:sz w:val="18"/>
          <w:szCs w:val="18"/>
        </w:rPr>
        <w:t xml:space="preserve">, 33(5), pp. 448-462. </w:t>
      </w:r>
    </w:p>
  </w:footnote>
  <w:footnote w:id="26">
    <w:p w:rsidR="00B43466" w:rsidRDefault="00B43466" w:rsidP="002A12B4">
      <w:pPr>
        <w:pStyle w:val="Textonotapie"/>
      </w:pPr>
      <w:r>
        <w:rPr>
          <w:rStyle w:val="Refdenotaalpie"/>
        </w:rPr>
        <w:footnoteRef/>
      </w:r>
      <w:r>
        <w:t xml:space="preserve"> Lozano </w:t>
      </w:r>
      <w:r>
        <w:rPr>
          <w:i/>
        </w:rPr>
        <w:t>et</w:t>
      </w:r>
      <w:r w:rsidRPr="00143352">
        <w:rPr>
          <w:i/>
        </w:rPr>
        <w:t xml:space="preserve"> al.</w:t>
      </w:r>
      <w:r>
        <w:t xml:space="preserve">, </w:t>
      </w:r>
      <w:r>
        <w:rPr>
          <w:i/>
        </w:rPr>
        <w:t>Op.</w:t>
      </w:r>
      <w:r w:rsidRPr="00143352">
        <w:rPr>
          <w:i/>
        </w:rPr>
        <w:t xml:space="preserve"> cit.</w:t>
      </w:r>
      <w:r>
        <w:t xml:space="preserve">, p. 83. </w:t>
      </w:r>
    </w:p>
  </w:footnote>
  <w:footnote w:id="27">
    <w:p w:rsidR="00B43466" w:rsidRPr="00E57961" w:rsidRDefault="00B43466" w:rsidP="002A12B4">
      <w:pPr>
        <w:pStyle w:val="Textonotapie"/>
        <w:jc w:val="both"/>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INEGI (2019). Defunciones generales en México 2017. Consultado el 05/02/2019 de https://www.inegi.org.mx/programas/mortalidad/.</w:t>
      </w:r>
    </w:p>
  </w:footnote>
  <w:footnote w:id="28">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Se considera una tasa bruta de mortalidad por cada 10,000 habitantes.</w:t>
      </w:r>
    </w:p>
  </w:footnote>
  <w:footnote w:id="29">
    <w:p w:rsidR="00B43466" w:rsidRPr="00E57961" w:rsidRDefault="00B43466" w:rsidP="002A12B4">
      <w:pPr>
        <w:pStyle w:val="Textonotapie"/>
        <w:rPr>
          <w:rFonts w:ascii="Arial" w:hAnsi="Arial" w:cs="Arial"/>
          <w:sz w:val="18"/>
          <w:szCs w:val="18"/>
          <w:lang w:val="en-US"/>
        </w:rPr>
      </w:pPr>
      <w:r w:rsidRPr="00E57961">
        <w:rPr>
          <w:rStyle w:val="Refdenotaalpie"/>
          <w:rFonts w:ascii="Arial" w:hAnsi="Arial" w:cs="Arial"/>
          <w:sz w:val="18"/>
          <w:szCs w:val="18"/>
        </w:rPr>
        <w:footnoteRef/>
      </w:r>
      <w:r w:rsidRPr="00E57961">
        <w:rPr>
          <w:rFonts w:ascii="Arial" w:hAnsi="Arial" w:cs="Arial"/>
          <w:sz w:val="18"/>
          <w:szCs w:val="18"/>
          <w:lang w:val="en-US"/>
        </w:rPr>
        <w:t xml:space="preserve"> Frenk </w:t>
      </w:r>
      <w:r w:rsidRPr="00E57961">
        <w:rPr>
          <w:rFonts w:ascii="Arial" w:hAnsi="Arial" w:cs="Arial"/>
          <w:i/>
          <w:sz w:val="18"/>
          <w:szCs w:val="18"/>
          <w:lang w:val="en-US"/>
        </w:rPr>
        <w:t>et al.</w:t>
      </w:r>
      <w:r w:rsidRPr="00E57961">
        <w:rPr>
          <w:rFonts w:ascii="Arial" w:hAnsi="Arial" w:cs="Arial"/>
          <w:sz w:val="18"/>
          <w:szCs w:val="18"/>
          <w:lang w:val="en-US"/>
        </w:rPr>
        <w:t xml:space="preserve"> (1991), </w:t>
      </w:r>
      <w:r w:rsidRPr="00E57961">
        <w:rPr>
          <w:rFonts w:ascii="Arial" w:hAnsi="Arial" w:cs="Arial"/>
          <w:i/>
          <w:sz w:val="18"/>
          <w:szCs w:val="18"/>
          <w:lang w:val="en-US"/>
        </w:rPr>
        <w:t>Op. cit.</w:t>
      </w:r>
      <w:r w:rsidRPr="00E57961">
        <w:rPr>
          <w:rFonts w:ascii="Arial" w:hAnsi="Arial" w:cs="Arial"/>
          <w:sz w:val="18"/>
          <w:szCs w:val="18"/>
          <w:lang w:val="en-US"/>
        </w:rPr>
        <w:t xml:space="preserve">, p. 487. </w:t>
      </w:r>
    </w:p>
  </w:footnote>
  <w:footnote w:id="30">
    <w:p w:rsidR="00B43466" w:rsidRPr="00E57961" w:rsidRDefault="00B43466" w:rsidP="002A12B4">
      <w:pPr>
        <w:pStyle w:val="Textonotapie"/>
        <w:rPr>
          <w:rFonts w:ascii="Arial" w:hAnsi="Arial" w:cs="Arial"/>
          <w:sz w:val="18"/>
          <w:szCs w:val="18"/>
          <w:lang w:val="en-US"/>
        </w:rPr>
      </w:pPr>
      <w:r w:rsidRPr="00E57961">
        <w:rPr>
          <w:rStyle w:val="Refdenotaalpie"/>
          <w:rFonts w:ascii="Arial" w:hAnsi="Arial" w:cs="Arial"/>
          <w:sz w:val="18"/>
          <w:szCs w:val="18"/>
        </w:rPr>
        <w:footnoteRef/>
      </w:r>
      <w:r w:rsidRPr="00E57961">
        <w:rPr>
          <w:rFonts w:ascii="Arial" w:hAnsi="Arial" w:cs="Arial"/>
          <w:sz w:val="18"/>
          <w:szCs w:val="18"/>
          <w:lang w:val="en-US"/>
        </w:rPr>
        <w:t xml:space="preserve"> INEGI (2019), </w:t>
      </w:r>
      <w:r w:rsidRPr="00E57961">
        <w:rPr>
          <w:rFonts w:ascii="Arial" w:hAnsi="Arial" w:cs="Arial"/>
          <w:i/>
          <w:sz w:val="18"/>
          <w:szCs w:val="18"/>
          <w:lang w:val="en-US"/>
        </w:rPr>
        <w:t>Op. cit.</w:t>
      </w:r>
      <w:r w:rsidRPr="00E57961">
        <w:rPr>
          <w:rFonts w:ascii="Arial" w:hAnsi="Arial" w:cs="Arial"/>
          <w:sz w:val="18"/>
          <w:szCs w:val="18"/>
          <w:lang w:val="en-US"/>
        </w:rPr>
        <w:t>, s.p.</w:t>
      </w:r>
    </w:p>
  </w:footnote>
  <w:footnote w:id="31">
    <w:p w:rsidR="00B43466" w:rsidRPr="00E57961" w:rsidRDefault="00B43466" w:rsidP="002A12B4">
      <w:pPr>
        <w:pStyle w:val="Textonotapie"/>
        <w:rPr>
          <w:rFonts w:ascii="Arial" w:hAnsi="Arial" w:cs="Arial"/>
          <w:sz w:val="18"/>
          <w:szCs w:val="18"/>
          <w:lang w:val="en-US"/>
        </w:rPr>
      </w:pPr>
      <w:r w:rsidRPr="00E57961">
        <w:rPr>
          <w:rStyle w:val="Refdenotaalpie"/>
          <w:rFonts w:ascii="Arial" w:hAnsi="Arial" w:cs="Arial"/>
          <w:sz w:val="18"/>
          <w:szCs w:val="18"/>
        </w:rPr>
        <w:footnoteRef/>
      </w:r>
      <w:r w:rsidRPr="00E57961">
        <w:rPr>
          <w:rFonts w:ascii="Arial" w:hAnsi="Arial" w:cs="Arial"/>
          <w:sz w:val="18"/>
          <w:szCs w:val="18"/>
          <w:lang w:val="en-US"/>
        </w:rPr>
        <w:t xml:space="preserve"> </w:t>
      </w:r>
      <w:r w:rsidRPr="00E57961">
        <w:rPr>
          <w:rFonts w:ascii="Arial" w:hAnsi="Arial" w:cs="Arial"/>
          <w:i/>
          <w:sz w:val="18"/>
          <w:szCs w:val="18"/>
          <w:lang w:val="en-US"/>
        </w:rPr>
        <w:t>Ibídem</w:t>
      </w:r>
      <w:r w:rsidRPr="00E57961">
        <w:rPr>
          <w:rFonts w:ascii="Arial" w:hAnsi="Arial" w:cs="Arial"/>
          <w:sz w:val="18"/>
          <w:szCs w:val="18"/>
          <w:lang w:val="en-US"/>
        </w:rPr>
        <w:t xml:space="preserve">. </w:t>
      </w:r>
    </w:p>
  </w:footnote>
  <w:footnote w:id="32">
    <w:p w:rsidR="00B43466" w:rsidRPr="00E57961" w:rsidRDefault="00B43466" w:rsidP="002A12B4">
      <w:pPr>
        <w:pStyle w:val="Textonotapie"/>
        <w:rPr>
          <w:rFonts w:ascii="Arial" w:hAnsi="Arial" w:cs="Arial"/>
          <w:sz w:val="18"/>
          <w:szCs w:val="18"/>
          <w:lang w:val="en-US"/>
        </w:rPr>
      </w:pPr>
      <w:r w:rsidRPr="00E57961">
        <w:rPr>
          <w:rStyle w:val="Refdenotaalpie"/>
          <w:rFonts w:ascii="Arial" w:hAnsi="Arial" w:cs="Arial"/>
          <w:sz w:val="18"/>
          <w:szCs w:val="18"/>
        </w:rPr>
        <w:footnoteRef/>
      </w:r>
      <w:r w:rsidRPr="00E57961">
        <w:rPr>
          <w:rFonts w:ascii="Arial" w:hAnsi="Arial" w:cs="Arial"/>
          <w:sz w:val="18"/>
          <w:szCs w:val="18"/>
          <w:lang w:val="en-US"/>
        </w:rPr>
        <w:t xml:space="preserve"> </w:t>
      </w:r>
      <w:r w:rsidRPr="00E57961">
        <w:rPr>
          <w:rFonts w:ascii="Arial" w:hAnsi="Arial" w:cs="Arial"/>
          <w:i/>
          <w:sz w:val="18"/>
          <w:szCs w:val="18"/>
          <w:lang w:val="en-US"/>
        </w:rPr>
        <w:t>Ibídem</w:t>
      </w:r>
      <w:r w:rsidRPr="00E57961">
        <w:rPr>
          <w:rFonts w:ascii="Arial" w:hAnsi="Arial" w:cs="Arial"/>
          <w:sz w:val="18"/>
          <w:szCs w:val="18"/>
          <w:lang w:val="en-US"/>
        </w:rPr>
        <w:t>.</w:t>
      </w:r>
    </w:p>
  </w:footnote>
  <w:footnote w:id="33">
    <w:p w:rsidR="00B43466" w:rsidRPr="00B350E5" w:rsidRDefault="00B43466" w:rsidP="002A12B4">
      <w:pPr>
        <w:pStyle w:val="Textonotapie"/>
        <w:rPr>
          <w:lang w:val="en-US"/>
        </w:rPr>
      </w:pPr>
      <w:r>
        <w:rPr>
          <w:rStyle w:val="Refdenotaalpie"/>
        </w:rPr>
        <w:footnoteRef/>
      </w:r>
      <w:r w:rsidRPr="00B350E5">
        <w:rPr>
          <w:lang w:val="en-US"/>
        </w:rPr>
        <w:t xml:space="preserve"> </w:t>
      </w:r>
      <w:r w:rsidRPr="00B350E5">
        <w:rPr>
          <w:i/>
          <w:lang w:val="en-US"/>
        </w:rPr>
        <w:t>Ibídem.</w:t>
      </w:r>
    </w:p>
  </w:footnote>
  <w:footnote w:id="34">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lang w:val="en-US"/>
        </w:rPr>
        <w:t xml:space="preserve"> Heinze, G. Olmedo, V., Bazán, G., Bernard, N., Guízar, D. (2018). </w:t>
      </w:r>
      <w:r w:rsidRPr="00E57961">
        <w:rPr>
          <w:rFonts w:ascii="Arial" w:hAnsi="Arial" w:cs="Arial"/>
          <w:sz w:val="18"/>
          <w:szCs w:val="18"/>
        </w:rPr>
        <w:t xml:space="preserve">Los médicos especialistas en México. </w:t>
      </w:r>
      <w:r w:rsidRPr="00E57961">
        <w:rPr>
          <w:rFonts w:ascii="Arial" w:hAnsi="Arial" w:cs="Arial"/>
          <w:i/>
          <w:sz w:val="18"/>
          <w:szCs w:val="18"/>
        </w:rPr>
        <w:t>Gaceta Médica de México</w:t>
      </w:r>
      <w:r w:rsidRPr="00E57961">
        <w:rPr>
          <w:rFonts w:ascii="Arial" w:hAnsi="Arial" w:cs="Arial"/>
          <w:sz w:val="18"/>
          <w:szCs w:val="18"/>
        </w:rPr>
        <w:t>, vol. 154, pp. 342-351.</w:t>
      </w:r>
    </w:p>
  </w:footnote>
  <w:footnote w:id="35">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lang w:val="en-US"/>
        </w:rPr>
        <w:t xml:space="preserve"> OCDE (2017). Health at a Glance 2017: OECD Indicators. </w:t>
      </w:r>
      <w:r w:rsidRPr="00E57961">
        <w:rPr>
          <w:rFonts w:ascii="Arial" w:hAnsi="Arial" w:cs="Arial"/>
          <w:sz w:val="18"/>
          <w:szCs w:val="18"/>
        </w:rPr>
        <w:t>OCDE Publicaciones: París.</w:t>
      </w:r>
    </w:p>
  </w:footnote>
  <w:footnote w:id="36">
    <w:p w:rsidR="00B43466" w:rsidRPr="00B350E5" w:rsidRDefault="00B43466" w:rsidP="002A12B4">
      <w:pPr>
        <w:pStyle w:val="Textonotapie"/>
      </w:pPr>
      <w:r>
        <w:rPr>
          <w:rStyle w:val="Refdenotaalpie"/>
        </w:rPr>
        <w:footnoteRef/>
      </w:r>
      <w:r w:rsidRPr="00B350E5">
        <w:t xml:space="preserve"> </w:t>
      </w:r>
      <w:r w:rsidRPr="00B350E5">
        <w:rPr>
          <w:i/>
        </w:rPr>
        <w:t>Ibídem</w:t>
      </w:r>
      <w:r w:rsidRPr="00B350E5">
        <w:t>.</w:t>
      </w:r>
    </w:p>
  </w:footnote>
  <w:footnote w:id="37">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Heinze </w:t>
      </w:r>
      <w:r w:rsidRPr="00E57961">
        <w:rPr>
          <w:rFonts w:ascii="Arial" w:hAnsi="Arial" w:cs="Arial"/>
          <w:i/>
          <w:sz w:val="18"/>
          <w:szCs w:val="18"/>
        </w:rPr>
        <w:t>et al.</w:t>
      </w:r>
      <w:r w:rsidRPr="00E57961">
        <w:rPr>
          <w:rFonts w:ascii="Arial" w:hAnsi="Arial" w:cs="Arial"/>
          <w:sz w:val="18"/>
          <w:szCs w:val="18"/>
        </w:rPr>
        <w:t xml:space="preserve">, </w:t>
      </w:r>
      <w:r w:rsidRPr="00E57961">
        <w:rPr>
          <w:rFonts w:ascii="Arial" w:hAnsi="Arial" w:cs="Arial"/>
          <w:i/>
          <w:sz w:val="18"/>
          <w:szCs w:val="18"/>
        </w:rPr>
        <w:t>op. cit.</w:t>
      </w:r>
      <w:r w:rsidRPr="00E57961">
        <w:rPr>
          <w:rFonts w:ascii="Arial" w:hAnsi="Arial" w:cs="Arial"/>
          <w:sz w:val="18"/>
          <w:szCs w:val="18"/>
        </w:rPr>
        <w:t>, p. 346.</w:t>
      </w:r>
    </w:p>
  </w:footnote>
  <w:footnote w:id="38">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Fajardo, G., García, S., Gonzáles, J.F. (2015) La planificación y formación de médicos especialistas en México. En </w:t>
      </w:r>
      <w:r w:rsidRPr="00E57961">
        <w:rPr>
          <w:rFonts w:ascii="Arial" w:hAnsi="Arial" w:cs="Arial"/>
          <w:i/>
          <w:sz w:val="18"/>
          <w:szCs w:val="18"/>
        </w:rPr>
        <w:t>La formación de médicos especialistas en México. Documento de postura</w:t>
      </w:r>
      <w:r w:rsidRPr="00E57961">
        <w:rPr>
          <w:rFonts w:ascii="Arial" w:hAnsi="Arial" w:cs="Arial"/>
          <w:sz w:val="18"/>
          <w:szCs w:val="18"/>
        </w:rPr>
        <w:t>. (pp. 31-42). Fajardo, G., Santacruz, J. y C. Lavalle (coords.); Academia Nacional de Medicina de México y Consejo Nacional de Ciencia y Tecnología; Ciudad de México.</w:t>
      </w:r>
    </w:p>
  </w:footnote>
  <w:footnote w:id="39">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Mateos, J. (2004). Neuroética y el enfermo en estado crítico. </w:t>
      </w:r>
      <w:r w:rsidRPr="00E57961">
        <w:rPr>
          <w:rFonts w:ascii="Arial" w:hAnsi="Arial" w:cs="Arial"/>
          <w:i/>
          <w:sz w:val="18"/>
          <w:szCs w:val="18"/>
        </w:rPr>
        <w:t>Archivos de Neurociencias</w:t>
      </w:r>
      <w:r w:rsidRPr="00E57961">
        <w:rPr>
          <w:rFonts w:ascii="Arial" w:hAnsi="Arial" w:cs="Arial"/>
          <w:sz w:val="18"/>
          <w:szCs w:val="18"/>
        </w:rPr>
        <w:t>, 9 (3). pp. 13-124.</w:t>
      </w:r>
    </w:p>
  </w:footnote>
  <w:footnote w:id="40">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w:t>
      </w:r>
      <w:r w:rsidRPr="00E57961">
        <w:rPr>
          <w:rFonts w:ascii="Arial" w:hAnsi="Arial" w:cs="Arial"/>
          <w:i/>
          <w:sz w:val="18"/>
          <w:szCs w:val="18"/>
        </w:rPr>
        <w:t>Ibídem</w:t>
      </w:r>
      <w:r w:rsidRPr="00E57961">
        <w:rPr>
          <w:rFonts w:ascii="Arial" w:hAnsi="Arial" w:cs="Arial"/>
          <w:sz w:val="18"/>
          <w:szCs w:val="18"/>
        </w:rPr>
        <w:t>.</w:t>
      </w:r>
    </w:p>
  </w:footnote>
  <w:footnote w:id="41">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Vásquez, H., Revilla, E., Raymundo, C., Gaytán, B., Terrazas, V. (2017). Características epidemiológicas de los pacientes con enfermedad crítica crónica. Un estudio observacional ambispectivo. </w:t>
      </w:r>
      <w:r w:rsidRPr="00E57961">
        <w:rPr>
          <w:rFonts w:ascii="Arial" w:hAnsi="Arial" w:cs="Arial"/>
          <w:i/>
          <w:sz w:val="18"/>
          <w:szCs w:val="18"/>
        </w:rPr>
        <w:t>Medicina Crítica y Terapia Intensiva (México)</w:t>
      </w:r>
      <w:r w:rsidRPr="00E57961">
        <w:rPr>
          <w:rFonts w:ascii="Arial" w:hAnsi="Arial" w:cs="Arial"/>
          <w:sz w:val="18"/>
          <w:szCs w:val="18"/>
        </w:rPr>
        <w:t>, 31 (1), pp. 31-35.</w:t>
      </w:r>
    </w:p>
  </w:footnote>
  <w:footnote w:id="42">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Fajardo, G. (2015). Propuesta de modelo para la formación de médicos especialistas en México. En </w:t>
      </w:r>
      <w:r w:rsidRPr="00E57961">
        <w:rPr>
          <w:rFonts w:ascii="Arial" w:hAnsi="Arial" w:cs="Arial"/>
          <w:i/>
          <w:sz w:val="18"/>
          <w:szCs w:val="18"/>
        </w:rPr>
        <w:t>La formación de médicos especialistas en México. Documento de postura</w:t>
      </w:r>
      <w:r w:rsidRPr="00E57961">
        <w:rPr>
          <w:rFonts w:ascii="Arial" w:hAnsi="Arial" w:cs="Arial"/>
          <w:sz w:val="18"/>
          <w:szCs w:val="18"/>
        </w:rPr>
        <w:t>. (pp. 187-201). Fajardo, G., Santacruz, J. y C. Lavalle (coords.); Academia Nacional de Medicina de México y Consejo Nacional de Ciencia y Tecnología; Ciudad de México.</w:t>
      </w:r>
    </w:p>
  </w:footnote>
  <w:footnote w:id="43">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Heinze </w:t>
      </w:r>
      <w:r w:rsidRPr="00E57961">
        <w:rPr>
          <w:rFonts w:ascii="Arial" w:hAnsi="Arial" w:cs="Arial"/>
          <w:i/>
          <w:sz w:val="18"/>
          <w:szCs w:val="18"/>
        </w:rPr>
        <w:t>et al.</w:t>
      </w:r>
      <w:r w:rsidRPr="00E57961">
        <w:rPr>
          <w:rFonts w:ascii="Arial" w:hAnsi="Arial" w:cs="Arial"/>
          <w:sz w:val="18"/>
          <w:szCs w:val="18"/>
        </w:rPr>
        <w:t xml:space="preserve">, </w:t>
      </w:r>
      <w:r w:rsidRPr="00E57961">
        <w:rPr>
          <w:rFonts w:ascii="Arial" w:hAnsi="Arial" w:cs="Arial"/>
          <w:i/>
          <w:sz w:val="18"/>
          <w:szCs w:val="18"/>
        </w:rPr>
        <w:t>op. cit.</w:t>
      </w:r>
      <w:r w:rsidRPr="00E57961">
        <w:rPr>
          <w:rFonts w:ascii="Arial" w:hAnsi="Arial" w:cs="Arial"/>
          <w:sz w:val="18"/>
          <w:szCs w:val="18"/>
        </w:rPr>
        <w:t>, p. 348.</w:t>
      </w:r>
    </w:p>
  </w:footnote>
  <w:footnote w:id="44">
    <w:p w:rsidR="00B43466" w:rsidRPr="00E57961" w:rsidRDefault="00B43466" w:rsidP="002A12B4">
      <w:pPr>
        <w:pStyle w:val="Textonotapie"/>
        <w:rPr>
          <w:rFonts w:ascii="Arial" w:hAnsi="Arial" w:cs="Arial"/>
          <w:sz w:val="18"/>
          <w:szCs w:val="18"/>
        </w:rPr>
      </w:pPr>
      <w:r w:rsidRPr="00E57961">
        <w:rPr>
          <w:rStyle w:val="Refdenotaalpie"/>
          <w:rFonts w:ascii="Arial" w:hAnsi="Arial" w:cs="Arial"/>
          <w:sz w:val="18"/>
          <w:szCs w:val="18"/>
        </w:rPr>
        <w:footnoteRef/>
      </w:r>
      <w:r w:rsidRPr="00E57961">
        <w:rPr>
          <w:rFonts w:ascii="Arial" w:hAnsi="Arial" w:cs="Arial"/>
          <w:sz w:val="18"/>
          <w:szCs w:val="18"/>
        </w:rPr>
        <w:t xml:space="preserve"> Santacruz, J., Fajardo, G., Hernández, F., Real, T. (2015). Metodología para estimar el número de médicos especialistas en México. En </w:t>
      </w:r>
      <w:r w:rsidRPr="00E57961">
        <w:rPr>
          <w:rFonts w:ascii="Arial" w:hAnsi="Arial" w:cs="Arial"/>
          <w:i/>
          <w:sz w:val="18"/>
          <w:szCs w:val="18"/>
        </w:rPr>
        <w:t>La formación de médicos especialistas en México. Documento de postura</w:t>
      </w:r>
      <w:r w:rsidRPr="00E57961">
        <w:rPr>
          <w:rFonts w:ascii="Arial" w:hAnsi="Arial" w:cs="Arial"/>
          <w:sz w:val="18"/>
          <w:szCs w:val="18"/>
        </w:rPr>
        <w:t>. (pp. 71-152). Fajardo, G., Santacruz, J. y C. Lavalle (coords.); Academia Nacional de Medicina de México y Consejo Nacional de Ciencia y Tecnología; Ciudad de México.</w:t>
      </w:r>
    </w:p>
  </w:footnote>
  <w:footnote w:id="45">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Villagómez, A. (2011). Perspectivas y tendencias en medicina crítica de los albores del siglo XXI. </w:t>
      </w:r>
      <w:r w:rsidRPr="0057550B">
        <w:rPr>
          <w:rFonts w:ascii="Arial" w:hAnsi="Arial" w:cs="Arial"/>
          <w:i/>
          <w:sz w:val="18"/>
          <w:szCs w:val="18"/>
        </w:rPr>
        <w:t>Medicina Crítica y Terapia Intensiva (México)</w:t>
      </w:r>
      <w:r w:rsidRPr="0057550B">
        <w:rPr>
          <w:rFonts w:ascii="Arial" w:hAnsi="Arial" w:cs="Arial"/>
          <w:sz w:val="18"/>
          <w:szCs w:val="18"/>
        </w:rPr>
        <w:t xml:space="preserve">, 4, pp. 180-183. </w:t>
      </w:r>
    </w:p>
  </w:footnote>
  <w:footnote w:id="46">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w:t>
      </w:r>
      <w:r w:rsidRPr="0057550B">
        <w:rPr>
          <w:rFonts w:ascii="Arial" w:hAnsi="Arial" w:cs="Arial"/>
          <w:i/>
          <w:sz w:val="18"/>
          <w:szCs w:val="18"/>
        </w:rPr>
        <w:t>Ibídem</w:t>
      </w:r>
      <w:r w:rsidRPr="0057550B">
        <w:rPr>
          <w:rFonts w:ascii="Arial" w:hAnsi="Arial" w:cs="Arial"/>
          <w:sz w:val="18"/>
          <w:szCs w:val="18"/>
        </w:rPr>
        <w:t>.</w:t>
      </w:r>
    </w:p>
  </w:footnote>
  <w:footnote w:id="47">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w:t>
      </w:r>
      <w:r w:rsidRPr="0057550B">
        <w:rPr>
          <w:rFonts w:ascii="Arial" w:hAnsi="Arial" w:cs="Arial"/>
          <w:i/>
          <w:sz w:val="18"/>
          <w:szCs w:val="18"/>
        </w:rPr>
        <w:t>Ibídem</w:t>
      </w:r>
      <w:r w:rsidRPr="0057550B">
        <w:rPr>
          <w:rFonts w:ascii="Arial" w:hAnsi="Arial" w:cs="Arial"/>
          <w:sz w:val="18"/>
          <w:szCs w:val="18"/>
        </w:rPr>
        <w:t>.</w:t>
      </w:r>
    </w:p>
  </w:footnote>
  <w:footnote w:id="48">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Meara </w:t>
      </w:r>
      <w:r w:rsidRPr="0057550B">
        <w:rPr>
          <w:rFonts w:ascii="Arial" w:hAnsi="Arial" w:cs="Arial"/>
          <w:i/>
          <w:sz w:val="18"/>
          <w:szCs w:val="18"/>
        </w:rPr>
        <w:t>et al.</w:t>
      </w:r>
      <w:r w:rsidRPr="0057550B">
        <w:rPr>
          <w:rFonts w:ascii="Arial" w:hAnsi="Arial" w:cs="Arial"/>
          <w:sz w:val="18"/>
          <w:szCs w:val="18"/>
        </w:rPr>
        <w:t>,</w:t>
      </w:r>
      <w:r w:rsidRPr="0057550B">
        <w:rPr>
          <w:rFonts w:ascii="Arial" w:hAnsi="Arial" w:cs="Arial"/>
          <w:i/>
          <w:sz w:val="18"/>
          <w:szCs w:val="18"/>
        </w:rPr>
        <w:t xml:space="preserve"> op. cit.</w:t>
      </w:r>
      <w:r w:rsidRPr="0057550B">
        <w:rPr>
          <w:rFonts w:ascii="Arial" w:hAnsi="Arial" w:cs="Arial"/>
          <w:sz w:val="18"/>
          <w:szCs w:val="18"/>
        </w:rPr>
        <w:t>, p. 570.</w:t>
      </w:r>
    </w:p>
  </w:footnote>
  <w:footnote w:id="49">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Villagómez (2011), </w:t>
      </w:r>
      <w:r w:rsidRPr="0057550B">
        <w:rPr>
          <w:rFonts w:ascii="Arial" w:hAnsi="Arial" w:cs="Arial"/>
          <w:i/>
          <w:sz w:val="18"/>
          <w:szCs w:val="18"/>
        </w:rPr>
        <w:t>op. cit.</w:t>
      </w:r>
      <w:r w:rsidRPr="0057550B">
        <w:rPr>
          <w:rFonts w:ascii="Arial" w:hAnsi="Arial" w:cs="Arial"/>
          <w:sz w:val="18"/>
          <w:szCs w:val="18"/>
        </w:rPr>
        <w:t>, p. 183</w:t>
      </w:r>
    </w:p>
  </w:footnote>
  <w:footnote w:id="50">
    <w:p w:rsidR="00B43466" w:rsidRPr="0057550B" w:rsidRDefault="00B43466" w:rsidP="002A12B4">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Plancarte </w:t>
      </w:r>
      <w:r w:rsidRPr="0057550B">
        <w:rPr>
          <w:rFonts w:ascii="Arial" w:hAnsi="Arial" w:cs="Arial"/>
          <w:i/>
          <w:sz w:val="18"/>
          <w:szCs w:val="18"/>
        </w:rPr>
        <w:t>et al.</w:t>
      </w:r>
      <w:r w:rsidRPr="0057550B">
        <w:rPr>
          <w:rFonts w:ascii="Arial" w:hAnsi="Arial" w:cs="Arial"/>
          <w:sz w:val="18"/>
          <w:szCs w:val="18"/>
        </w:rPr>
        <w:t xml:space="preserve"> (2015), </w:t>
      </w:r>
      <w:r w:rsidRPr="0057550B">
        <w:rPr>
          <w:rFonts w:ascii="Arial" w:hAnsi="Arial" w:cs="Arial"/>
          <w:i/>
          <w:sz w:val="18"/>
          <w:szCs w:val="18"/>
        </w:rPr>
        <w:t>op. cit.</w:t>
      </w:r>
      <w:r w:rsidRPr="0057550B">
        <w:rPr>
          <w:rFonts w:ascii="Arial" w:hAnsi="Arial" w:cs="Arial"/>
          <w:sz w:val="18"/>
          <w:szCs w:val="18"/>
        </w:rPr>
        <w:t>, p. 8.</w:t>
      </w:r>
    </w:p>
  </w:footnote>
  <w:footnote w:id="51">
    <w:p w:rsidR="00B43466" w:rsidRPr="0057550B" w:rsidRDefault="00B43466" w:rsidP="002606AE">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Reformado mediante decreto publicado en el Diario Oficial de la Federación el 29 de enero de 2016.</w:t>
      </w:r>
    </w:p>
  </w:footnote>
  <w:footnote w:id="52">
    <w:p w:rsidR="00B43466" w:rsidRDefault="00B43466" w:rsidP="002606AE">
      <w:pPr>
        <w:pStyle w:val="Textonotapie"/>
      </w:pPr>
      <w:r>
        <w:rPr>
          <w:rStyle w:val="Refdenotaalpie"/>
        </w:rPr>
        <w:footnoteRef/>
      </w:r>
      <w:r>
        <w:t xml:space="preserve"> </w:t>
      </w:r>
      <w:r w:rsidRPr="00E454FB">
        <w:rPr>
          <w:rFonts w:ascii="Arial" w:hAnsi="Arial" w:cs="Arial"/>
          <w:sz w:val="18"/>
          <w:szCs w:val="18"/>
        </w:rPr>
        <w:t xml:space="preserve">Reformado mediante </w:t>
      </w:r>
      <w:r>
        <w:rPr>
          <w:rFonts w:ascii="Arial" w:hAnsi="Arial" w:cs="Arial"/>
          <w:sz w:val="18"/>
          <w:szCs w:val="18"/>
        </w:rPr>
        <w:t>d</w:t>
      </w:r>
      <w:r w:rsidRPr="00E454FB">
        <w:rPr>
          <w:rFonts w:ascii="Arial" w:hAnsi="Arial" w:cs="Arial"/>
          <w:sz w:val="18"/>
          <w:szCs w:val="18"/>
        </w:rPr>
        <w:t xml:space="preserve">ecreto publicado en el Diario Oficial de la </w:t>
      </w:r>
      <w:r>
        <w:rPr>
          <w:rFonts w:ascii="Arial" w:hAnsi="Arial" w:cs="Arial"/>
          <w:sz w:val="18"/>
          <w:szCs w:val="18"/>
        </w:rPr>
        <w:t>F</w:t>
      </w:r>
      <w:r w:rsidRPr="00E454FB">
        <w:rPr>
          <w:rFonts w:ascii="Arial" w:hAnsi="Arial" w:cs="Arial"/>
          <w:sz w:val="18"/>
          <w:szCs w:val="18"/>
        </w:rPr>
        <w:t xml:space="preserve">ederación el </w:t>
      </w:r>
      <w:r>
        <w:rPr>
          <w:rFonts w:ascii="Arial" w:hAnsi="Arial" w:cs="Arial"/>
          <w:sz w:val="18"/>
          <w:szCs w:val="18"/>
        </w:rPr>
        <w:t>10 de junio del 2011</w:t>
      </w:r>
      <w:r w:rsidRPr="00E454FB">
        <w:rPr>
          <w:rFonts w:ascii="Arial" w:hAnsi="Arial" w:cs="Arial"/>
          <w:sz w:val="18"/>
          <w:szCs w:val="18"/>
        </w:rPr>
        <w:t>29 de enero de 2016</w:t>
      </w:r>
      <w:r>
        <w:rPr>
          <w:rFonts w:ascii="Arial" w:hAnsi="Arial" w:cs="Arial"/>
          <w:sz w:val="18"/>
          <w:szCs w:val="18"/>
        </w:rPr>
        <w:t>.</w:t>
      </w:r>
    </w:p>
  </w:footnote>
  <w:footnote w:id="53">
    <w:p w:rsidR="00B43466" w:rsidRPr="00BD33EC" w:rsidRDefault="00B43466" w:rsidP="002606AE">
      <w:pPr>
        <w:pStyle w:val="Textonotapie"/>
        <w:rPr>
          <w:rFonts w:ascii="Arial" w:hAnsi="Arial" w:cs="Arial"/>
          <w:sz w:val="18"/>
          <w:szCs w:val="18"/>
        </w:rPr>
      </w:pPr>
      <w:r w:rsidRPr="00BD33EC">
        <w:rPr>
          <w:rStyle w:val="Refdenotaalpie"/>
          <w:rFonts w:ascii="Arial" w:hAnsi="Arial" w:cs="Arial"/>
          <w:sz w:val="18"/>
          <w:szCs w:val="18"/>
        </w:rPr>
        <w:footnoteRef/>
      </w:r>
      <w:r w:rsidRPr="00BD33EC">
        <w:rPr>
          <w:rFonts w:ascii="Arial" w:hAnsi="Arial" w:cs="Arial"/>
          <w:sz w:val="18"/>
          <w:szCs w:val="18"/>
        </w:rPr>
        <w:t xml:space="preserve"> Reformado mediante decreto publicado por el Diario Oficial de la Federación el 5 de marzo de 1993.</w:t>
      </w:r>
    </w:p>
  </w:footnote>
  <w:footnote w:id="54">
    <w:p w:rsidR="00B43466" w:rsidRPr="00BD33EC" w:rsidRDefault="00B43466" w:rsidP="002606AE">
      <w:pPr>
        <w:pStyle w:val="Textonotapie"/>
        <w:rPr>
          <w:rFonts w:ascii="Arial" w:hAnsi="Arial" w:cs="Arial"/>
          <w:sz w:val="18"/>
          <w:szCs w:val="18"/>
        </w:rPr>
      </w:pPr>
      <w:r w:rsidRPr="00BD33EC">
        <w:rPr>
          <w:rStyle w:val="Refdenotaalpie"/>
          <w:rFonts w:ascii="Arial" w:hAnsi="Arial" w:cs="Arial"/>
          <w:sz w:val="18"/>
          <w:szCs w:val="18"/>
        </w:rPr>
        <w:footnoteRef/>
      </w:r>
      <w:r w:rsidRPr="00BD33EC">
        <w:rPr>
          <w:rFonts w:ascii="Arial" w:hAnsi="Arial" w:cs="Arial"/>
          <w:sz w:val="18"/>
          <w:szCs w:val="18"/>
        </w:rPr>
        <w:t xml:space="preserve"> </w:t>
      </w:r>
      <w:r w:rsidRPr="00AE1A32">
        <w:rPr>
          <w:rFonts w:ascii="Arial" w:hAnsi="Arial" w:cs="Arial"/>
          <w:i/>
          <w:sz w:val="18"/>
          <w:szCs w:val="18"/>
        </w:rPr>
        <w:t>Ídem</w:t>
      </w:r>
      <w:r w:rsidRPr="00BD33EC">
        <w:rPr>
          <w:rFonts w:ascii="Arial" w:hAnsi="Arial" w:cs="Arial"/>
          <w:sz w:val="18"/>
          <w:szCs w:val="18"/>
        </w:rPr>
        <w:t xml:space="preserve">. </w:t>
      </w:r>
    </w:p>
  </w:footnote>
  <w:footnote w:id="55">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56">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57">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58">
    <w:p w:rsidR="00B43466" w:rsidRPr="00BD33EC" w:rsidRDefault="00B43466" w:rsidP="002606AE">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59">
    <w:p w:rsidR="00B43466" w:rsidRPr="00BD33EC" w:rsidRDefault="00B43466" w:rsidP="002606AE">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60">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61">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62">
    <w:p w:rsidR="00B43466" w:rsidRPr="00BD33EC" w:rsidRDefault="00B43466" w:rsidP="002606AE">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footnote>
  <w:footnote w:id="63">
    <w:p w:rsidR="00B43466" w:rsidRPr="00BD33EC" w:rsidRDefault="00B43466" w:rsidP="002606AE">
      <w:pPr>
        <w:spacing w:after="0" w:line="240" w:lineRule="auto"/>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64">
    <w:p w:rsidR="00B43466" w:rsidRPr="002713DD" w:rsidRDefault="00B43466" w:rsidP="002606AE">
      <w:pPr>
        <w:pStyle w:val="Textonotapie"/>
        <w:rPr>
          <w:rFonts w:ascii="Arial" w:hAnsi="Arial" w:cs="Arial"/>
          <w:sz w:val="18"/>
          <w:szCs w:val="18"/>
        </w:rPr>
      </w:pPr>
      <w:r>
        <w:rPr>
          <w:rStyle w:val="Refdenotaalpie"/>
        </w:rPr>
        <w:footnoteRef/>
      </w:r>
      <w:r>
        <w:t xml:space="preserve"> </w:t>
      </w:r>
      <w:r w:rsidRPr="002713DD">
        <w:rPr>
          <w:rFonts w:ascii="Arial" w:hAnsi="Arial" w:cs="Arial"/>
          <w:sz w:val="18"/>
          <w:szCs w:val="18"/>
        </w:rPr>
        <w:t>T</w:t>
      </w:r>
      <w:r>
        <w:rPr>
          <w:rFonts w:ascii="Arial" w:hAnsi="Arial" w:cs="Arial"/>
          <w:sz w:val="18"/>
          <w:szCs w:val="18"/>
        </w:rPr>
        <w:t xml:space="preserve">exto Vigente: </w:t>
      </w:r>
      <w:r w:rsidRPr="002713DD">
        <w:rPr>
          <w:rFonts w:ascii="Arial" w:hAnsi="Arial" w:cs="Arial"/>
          <w:sz w:val="18"/>
          <w:szCs w:val="18"/>
        </w:rPr>
        <w:t>Última reforma publicada DOF 19</w:t>
      </w:r>
      <w:r>
        <w:rPr>
          <w:rFonts w:ascii="Arial" w:hAnsi="Arial" w:cs="Arial"/>
          <w:sz w:val="18"/>
          <w:szCs w:val="18"/>
        </w:rPr>
        <w:t xml:space="preserve"> de enero de 2018</w:t>
      </w:r>
    </w:p>
  </w:footnote>
  <w:footnote w:id="65">
    <w:p w:rsidR="00B43466" w:rsidRPr="00CA0725" w:rsidRDefault="00B43466" w:rsidP="002606AE">
      <w:pPr>
        <w:jc w:val="both"/>
        <w:rPr>
          <w:rFonts w:ascii="Arial" w:hAnsi="Arial" w:cs="Arial"/>
          <w:sz w:val="18"/>
          <w:szCs w:val="18"/>
        </w:rPr>
      </w:pPr>
      <w:r>
        <w:rPr>
          <w:rStyle w:val="Refdenotaalpie"/>
        </w:rPr>
        <w:footnoteRef/>
      </w:r>
      <w:r>
        <w:t xml:space="preserve"> </w:t>
      </w:r>
      <w:r>
        <w:rPr>
          <w:rFonts w:ascii="Arial" w:hAnsi="Arial" w:cs="Arial"/>
          <w:sz w:val="18"/>
          <w:szCs w:val="18"/>
        </w:rPr>
        <w:t>Ley General d</w:t>
      </w:r>
      <w:r w:rsidRPr="00CA0725">
        <w:rPr>
          <w:rFonts w:ascii="Arial" w:hAnsi="Arial" w:cs="Arial"/>
          <w:sz w:val="18"/>
          <w:szCs w:val="18"/>
        </w:rPr>
        <w:t>e Salud, Publicado en el D.O.F. el 7 de febrero de 1984, texto vigente última reforma publicada DOF 12-07-2018</w:t>
      </w:r>
    </w:p>
    <w:p w:rsidR="00B43466" w:rsidRDefault="00B43466" w:rsidP="002606AE">
      <w:pPr>
        <w:pStyle w:val="Textonotapie"/>
      </w:pPr>
    </w:p>
  </w:footnote>
  <w:footnote w:id="66">
    <w:p w:rsidR="00B43466" w:rsidRPr="00F25270" w:rsidRDefault="00B43466" w:rsidP="00FC4954">
      <w:pPr>
        <w:spacing w:after="0" w:line="240" w:lineRule="auto"/>
        <w:rPr>
          <w:rFonts w:ascii="Arial" w:hAnsi="Arial" w:cs="Arial"/>
          <w:sz w:val="18"/>
        </w:rPr>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27-05-1987, 12-01-2006, 01-09-2011</w:t>
      </w:r>
    </w:p>
  </w:footnote>
  <w:footnote w:id="67">
    <w:p w:rsidR="00B43466" w:rsidRDefault="00B43466" w:rsidP="00FC4954">
      <w:pPr>
        <w:spacing w:after="0" w:line="240" w:lineRule="auto"/>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01-09-2011</w:t>
      </w:r>
    </w:p>
  </w:footnote>
  <w:footnote w:id="68">
    <w:p w:rsidR="00B43466" w:rsidRDefault="00B43466" w:rsidP="002606AE">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B43466" w:rsidRDefault="00B43466" w:rsidP="002606AE">
      <w:pPr>
        <w:pStyle w:val="Textonotapie"/>
      </w:pPr>
    </w:p>
    <w:p w:rsidR="00B43466" w:rsidRDefault="00B43466" w:rsidP="002606AE">
      <w:pPr>
        <w:pStyle w:val="Textonotapie"/>
      </w:pPr>
    </w:p>
    <w:p w:rsidR="00B43466" w:rsidRDefault="00B43466" w:rsidP="002606AE">
      <w:pPr>
        <w:pStyle w:val="Textonotapie"/>
      </w:pPr>
    </w:p>
  </w:footnote>
  <w:footnote w:id="69">
    <w:p w:rsidR="00B43466" w:rsidRPr="0057550B" w:rsidRDefault="00B43466" w:rsidP="0002197D">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rPr>
        <w:t xml:space="preserve"> Querido, S., Vergouw, D., Wigersma, L., Batenburg, R., De Rond, M., Ten, O. (2016). </w:t>
      </w:r>
      <w:r w:rsidRPr="0057550B">
        <w:rPr>
          <w:rFonts w:ascii="Arial" w:hAnsi="Arial" w:cs="Arial"/>
          <w:sz w:val="18"/>
          <w:szCs w:val="18"/>
          <w:lang w:val="en-US"/>
        </w:rPr>
        <w:t xml:space="preserve">Dynamics of career choice among students in undergraduate medical courses. A BEME systematic review: BEME Guide No. 33. </w:t>
      </w:r>
      <w:r w:rsidRPr="0057550B">
        <w:rPr>
          <w:rFonts w:ascii="Arial" w:hAnsi="Arial" w:cs="Arial"/>
          <w:i/>
          <w:sz w:val="18"/>
          <w:szCs w:val="18"/>
          <w:lang w:val="en-US"/>
        </w:rPr>
        <w:t>Medical Teacher</w:t>
      </w:r>
      <w:r w:rsidRPr="0057550B">
        <w:rPr>
          <w:rFonts w:ascii="Arial" w:hAnsi="Arial" w:cs="Arial"/>
          <w:sz w:val="18"/>
          <w:szCs w:val="18"/>
          <w:lang w:val="en-US"/>
        </w:rPr>
        <w:t>, vol. 38 (1), pp. 18-29.</w:t>
      </w:r>
    </w:p>
  </w:footnote>
  <w:footnote w:id="70">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Gutiérrez, C., Naveja, J., Sánchez, M. (2017). Factores relacionados con la elección de una especialidad en medicina. </w:t>
      </w:r>
      <w:r w:rsidRPr="0057550B">
        <w:rPr>
          <w:rFonts w:ascii="Arial" w:hAnsi="Arial" w:cs="Arial"/>
          <w:i/>
          <w:sz w:val="18"/>
          <w:szCs w:val="18"/>
        </w:rPr>
        <w:t>Investigación en Educación Médica</w:t>
      </w:r>
      <w:r w:rsidRPr="0057550B">
        <w:rPr>
          <w:rFonts w:ascii="Arial" w:hAnsi="Arial" w:cs="Arial"/>
          <w:sz w:val="18"/>
          <w:szCs w:val="18"/>
        </w:rPr>
        <w:t>, vol. 6(23), pp. 206-214.</w:t>
      </w:r>
    </w:p>
  </w:footnote>
  <w:footnote w:id="71">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Fajardo </w:t>
      </w:r>
      <w:r w:rsidRPr="0057550B">
        <w:rPr>
          <w:rFonts w:ascii="Arial" w:hAnsi="Arial" w:cs="Arial"/>
          <w:i/>
          <w:sz w:val="18"/>
          <w:szCs w:val="18"/>
        </w:rPr>
        <w:t>et al.</w:t>
      </w:r>
      <w:r w:rsidRPr="0057550B">
        <w:rPr>
          <w:rFonts w:ascii="Arial" w:hAnsi="Arial" w:cs="Arial"/>
          <w:sz w:val="18"/>
          <w:szCs w:val="18"/>
        </w:rPr>
        <w:t xml:space="preserve"> (2015), </w:t>
      </w:r>
      <w:r w:rsidRPr="0057550B">
        <w:rPr>
          <w:rFonts w:ascii="Arial" w:hAnsi="Arial" w:cs="Arial"/>
          <w:i/>
          <w:sz w:val="18"/>
          <w:szCs w:val="18"/>
        </w:rPr>
        <w:t>op. cit</w:t>
      </w:r>
      <w:r w:rsidRPr="0057550B">
        <w:rPr>
          <w:rFonts w:ascii="Arial" w:hAnsi="Arial" w:cs="Arial"/>
          <w:sz w:val="18"/>
          <w:szCs w:val="18"/>
        </w:rPr>
        <w:t>., p. 35.</w:t>
      </w:r>
    </w:p>
  </w:footnote>
  <w:footnote w:id="72">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lang w:val="en-US"/>
        </w:rPr>
        <w:t xml:space="preserve"> Bland, C., Meurer, L., Maldona, G. (1995). Determinants of primary care specialty choice: A non-statistical meta-analysis of the literature. </w:t>
      </w:r>
      <w:r w:rsidRPr="0057550B">
        <w:rPr>
          <w:rFonts w:ascii="Arial" w:hAnsi="Arial" w:cs="Arial"/>
          <w:i/>
          <w:sz w:val="18"/>
          <w:szCs w:val="18"/>
        </w:rPr>
        <w:t>Acad Med</w:t>
      </w:r>
      <w:r w:rsidRPr="0057550B">
        <w:rPr>
          <w:rFonts w:ascii="Arial" w:hAnsi="Arial" w:cs="Arial"/>
          <w:sz w:val="18"/>
          <w:szCs w:val="18"/>
        </w:rPr>
        <w:t>, vol. 70(7), pp.620–641.</w:t>
      </w:r>
    </w:p>
  </w:footnote>
  <w:footnote w:id="73">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Querido </w:t>
      </w:r>
      <w:r w:rsidRPr="0057550B">
        <w:rPr>
          <w:rFonts w:ascii="Arial" w:hAnsi="Arial" w:cs="Arial"/>
          <w:i/>
          <w:sz w:val="18"/>
          <w:szCs w:val="18"/>
        </w:rPr>
        <w:t>et al.</w:t>
      </w:r>
      <w:r w:rsidRPr="0057550B">
        <w:rPr>
          <w:rFonts w:ascii="Arial" w:hAnsi="Arial" w:cs="Arial"/>
          <w:sz w:val="18"/>
          <w:szCs w:val="18"/>
        </w:rPr>
        <w:t xml:space="preserve"> (2016), </w:t>
      </w:r>
      <w:r w:rsidRPr="0057550B">
        <w:rPr>
          <w:rFonts w:ascii="Arial" w:hAnsi="Arial" w:cs="Arial"/>
          <w:i/>
          <w:sz w:val="18"/>
          <w:szCs w:val="18"/>
        </w:rPr>
        <w:t>op. cit</w:t>
      </w:r>
      <w:r w:rsidRPr="0057550B">
        <w:rPr>
          <w:rFonts w:ascii="Arial" w:hAnsi="Arial" w:cs="Arial"/>
          <w:sz w:val="18"/>
          <w:szCs w:val="18"/>
        </w:rPr>
        <w:t>., p. 20.</w:t>
      </w:r>
    </w:p>
  </w:footnote>
  <w:footnote w:id="74">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Rodríguez, R. (1989) Metodología para el análisis demográfico de la eficiencia terminal, la deserción y el rezago escolar. En “</w:t>
      </w:r>
      <w:r w:rsidRPr="0057550B">
        <w:rPr>
          <w:rFonts w:ascii="Arial" w:hAnsi="Arial" w:cs="Arial"/>
          <w:i/>
          <w:sz w:val="18"/>
          <w:szCs w:val="18"/>
        </w:rPr>
        <w:t>La trayectoria escolar en la educación superior. Panorámica de la investigación y acercamientos metodológicos</w:t>
      </w:r>
      <w:r w:rsidRPr="0057550B">
        <w:rPr>
          <w:rFonts w:ascii="Arial" w:hAnsi="Arial" w:cs="Arial"/>
          <w:sz w:val="18"/>
          <w:szCs w:val="18"/>
        </w:rPr>
        <w:t>” R. Santoyo (coord.) ANUIES; México, D.F. (pp. 225-280).</w:t>
      </w:r>
    </w:p>
  </w:footnote>
  <w:footnote w:id="75">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Graue, E. (2015). Posicionamiento de la Academia Nacional de Medicina. En </w:t>
      </w:r>
      <w:r w:rsidRPr="0057550B">
        <w:rPr>
          <w:rFonts w:ascii="Arial" w:hAnsi="Arial" w:cs="Arial"/>
          <w:i/>
          <w:sz w:val="18"/>
          <w:szCs w:val="18"/>
        </w:rPr>
        <w:t>La formación de médicos especialistas en México. Documento de postura</w:t>
      </w:r>
      <w:r w:rsidRPr="0057550B">
        <w:rPr>
          <w:rFonts w:ascii="Arial" w:hAnsi="Arial" w:cs="Arial"/>
          <w:sz w:val="18"/>
          <w:szCs w:val="18"/>
        </w:rPr>
        <w:t xml:space="preserve"> (pp. 235-243). Fajardo, G., Santacruz, J. y C. Lavalle (coords.); Academia Nacional de Medicina de México y Consejo Nacional de Ciencia y Tecnología de México; Ciudad de México.</w:t>
      </w:r>
    </w:p>
  </w:footnote>
  <w:footnote w:id="76">
    <w:p w:rsidR="00B43466" w:rsidRDefault="00B43466" w:rsidP="0002197D">
      <w:pPr>
        <w:pStyle w:val="Textonotapie"/>
      </w:pPr>
      <w:r>
        <w:rPr>
          <w:rStyle w:val="Refdenotaalpie"/>
        </w:rPr>
        <w:footnoteRef/>
      </w:r>
      <w:r>
        <w:t xml:space="preserve"> Graue, E. (2015a). Prólogo. En </w:t>
      </w:r>
      <w:r w:rsidRPr="00DA0EC1">
        <w:rPr>
          <w:i/>
        </w:rPr>
        <w:t>La formación de médicos especialistas en México. Documento de postura</w:t>
      </w:r>
      <w:r>
        <w:t xml:space="preserve"> (pp. XIII-XVI). Fajardo, G., Santacruz, J. y C. Lavalle (coords.); Academia Nacional de Medicina de México y Consejo Nacional de Ciencia y Tecnología de México; Ciudad de México.</w:t>
      </w:r>
    </w:p>
  </w:footnote>
  <w:footnote w:id="77">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Gutiérrez </w:t>
      </w:r>
      <w:r w:rsidRPr="0057550B">
        <w:rPr>
          <w:rFonts w:ascii="Arial" w:hAnsi="Arial" w:cs="Arial"/>
          <w:i/>
          <w:sz w:val="18"/>
          <w:szCs w:val="18"/>
        </w:rPr>
        <w:t xml:space="preserve">et al. </w:t>
      </w:r>
      <w:r w:rsidRPr="0057550B">
        <w:rPr>
          <w:rFonts w:ascii="Arial" w:hAnsi="Arial" w:cs="Arial"/>
          <w:sz w:val="18"/>
          <w:szCs w:val="18"/>
        </w:rPr>
        <w:t>(2017),</w:t>
      </w:r>
      <w:r w:rsidRPr="0057550B">
        <w:rPr>
          <w:rFonts w:ascii="Arial" w:hAnsi="Arial" w:cs="Arial"/>
          <w:i/>
          <w:sz w:val="18"/>
          <w:szCs w:val="18"/>
        </w:rPr>
        <w:t xml:space="preserve"> op. cit.,</w:t>
      </w:r>
      <w:r w:rsidRPr="0057550B">
        <w:rPr>
          <w:rFonts w:ascii="Arial" w:hAnsi="Arial" w:cs="Arial"/>
          <w:sz w:val="18"/>
          <w:szCs w:val="18"/>
        </w:rPr>
        <w:t xml:space="preserve"> p. 212</w:t>
      </w:r>
    </w:p>
  </w:footnote>
  <w:footnote w:id="78">
    <w:p w:rsidR="00B43466" w:rsidRPr="0057550B" w:rsidRDefault="00B43466" w:rsidP="0002197D">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Fajardo </w:t>
      </w:r>
      <w:r w:rsidRPr="0057550B">
        <w:rPr>
          <w:rFonts w:ascii="Arial" w:hAnsi="Arial" w:cs="Arial"/>
          <w:i/>
          <w:sz w:val="18"/>
          <w:szCs w:val="18"/>
        </w:rPr>
        <w:t>et al.</w:t>
      </w:r>
      <w:r w:rsidRPr="0057550B">
        <w:rPr>
          <w:rFonts w:ascii="Arial" w:hAnsi="Arial" w:cs="Arial"/>
          <w:sz w:val="18"/>
          <w:szCs w:val="18"/>
        </w:rPr>
        <w:t xml:space="preserve"> (2015), </w:t>
      </w:r>
      <w:r w:rsidRPr="0057550B">
        <w:rPr>
          <w:rFonts w:ascii="Arial" w:hAnsi="Arial" w:cs="Arial"/>
          <w:i/>
          <w:sz w:val="18"/>
          <w:szCs w:val="18"/>
        </w:rPr>
        <w:t>op. cit.</w:t>
      </w:r>
      <w:r w:rsidRPr="0057550B">
        <w:rPr>
          <w:rFonts w:ascii="Arial" w:hAnsi="Arial" w:cs="Arial"/>
          <w:sz w:val="18"/>
          <w:szCs w:val="18"/>
        </w:rPr>
        <w:t>, p. 44.</w:t>
      </w:r>
    </w:p>
  </w:footnote>
  <w:footnote w:id="79">
    <w:p w:rsidR="00B43466" w:rsidRPr="0057550B" w:rsidRDefault="00B43466" w:rsidP="004D4002">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lang w:val="en-US"/>
        </w:rPr>
        <w:t xml:space="preserve"> SSA (2019), </w:t>
      </w:r>
      <w:r w:rsidRPr="0057550B">
        <w:rPr>
          <w:rFonts w:ascii="Arial" w:hAnsi="Arial" w:cs="Arial"/>
          <w:i/>
          <w:sz w:val="18"/>
          <w:szCs w:val="18"/>
          <w:lang w:val="en-US"/>
        </w:rPr>
        <w:t>op. cit.</w:t>
      </w:r>
      <w:r w:rsidRPr="0057550B">
        <w:rPr>
          <w:rFonts w:ascii="Arial" w:hAnsi="Arial" w:cs="Arial"/>
          <w:sz w:val="18"/>
          <w:szCs w:val="18"/>
          <w:lang w:val="en-US"/>
        </w:rPr>
        <w:t>, s.p.</w:t>
      </w:r>
    </w:p>
  </w:footnote>
  <w:footnote w:id="80">
    <w:p w:rsidR="00B43466" w:rsidRPr="0057550B" w:rsidRDefault="00B43466" w:rsidP="004D4002">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INEGI (2018), </w:t>
      </w:r>
      <w:r w:rsidRPr="0057550B">
        <w:rPr>
          <w:rFonts w:ascii="Arial" w:hAnsi="Arial" w:cs="Arial"/>
          <w:i/>
          <w:sz w:val="18"/>
          <w:szCs w:val="18"/>
        </w:rPr>
        <w:t>op. cit</w:t>
      </w:r>
      <w:r w:rsidRPr="0057550B">
        <w:rPr>
          <w:rFonts w:ascii="Arial" w:hAnsi="Arial" w:cs="Arial"/>
          <w:sz w:val="18"/>
          <w:szCs w:val="18"/>
        </w:rPr>
        <w:t>., s.p.</w:t>
      </w:r>
    </w:p>
  </w:footnote>
  <w:footnote w:id="81">
    <w:p w:rsidR="00B43466" w:rsidRPr="0057550B" w:rsidRDefault="00B43466" w:rsidP="004D4002">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rPr>
        <w:t xml:space="preserve"> Fajardo </w:t>
      </w:r>
      <w:r w:rsidRPr="0057550B">
        <w:rPr>
          <w:rFonts w:ascii="Arial" w:hAnsi="Arial" w:cs="Arial"/>
          <w:i/>
          <w:sz w:val="18"/>
          <w:szCs w:val="18"/>
        </w:rPr>
        <w:t>et al.</w:t>
      </w:r>
      <w:r w:rsidRPr="0057550B">
        <w:rPr>
          <w:rFonts w:ascii="Arial" w:hAnsi="Arial" w:cs="Arial"/>
          <w:sz w:val="18"/>
          <w:szCs w:val="18"/>
        </w:rPr>
        <w:t xml:space="preserve"> </w:t>
      </w:r>
      <w:r w:rsidRPr="0057550B">
        <w:rPr>
          <w:rFonts w:ascii="Arial" w:hAnsi="Arial" w:cs="Arial"/>
          <w:sz w:val="18"/>
          <w:szCs w:val="18"/>
          <w:lang w:val="en-US"/>
        </w:rPr>
        <w:t xml:space="preserve">(2015), </w:t>
      </w:r>
      <w:r w:rsidRPr="0057550B">
        <w:rPr>
          <w:rFonts w:ascii="Arial" w:hAnsi="Arial" w:cs="Arial"/>
          <w:i/>
          <w:sz w:val="18"/>
          <w:szCs w:val="18"/>
          <w:lang w:val="en-US"/>
        </w:rPr>
        <w:t>op. cit.</w:t>
      </w:r>
      <w:r w:rsidRPr="0057550B">
        <w:rPr>
          <w:rFonts w:ascii="Arial" w:hAnsi="Arial" w:cs="Arial"/>
          <w:sz w:val="18"/>
          <w:szCs w:val="18"/>
          <w:lang w:val="en-US"/>
        </w:rPr>
        <w:t>, p. 33</w:t>
      </w:r>
    </w:p>
  </w:footnote>
  <w:footnote w:id="82">
    <w:p w:rsidR="00B43466" w:rsidRPr="0057550B" w:rsidRDefault="00B43466" w:rsidP="004D4002">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lang w:val="en-US"/>
        </w:rPr>
        <w:t xml:space="preserve"> Heinze </w:t>
      </w:r>
      <w:r w:rsidRPr="0057550B">
        <w:rPr>
          <w:rFonts w:ascii="Arial" w:hAnsi="Arial" w:cs="Arial"/>
          <w:i/>
          <w:sz w:val="18"/>
          <w:szCs w:val="18"/>
          <w:lang w:val="en-US"/>
        </w:rPr>
        <w:t>et al.</w:t>
      </w:r>
      <w:r w:rsidRPr="0057550B">
        <w:rPr>
          <w:rFonts w:ascii="Arial" w:hAnsi="Arial" w:cs="Arial"/>
          <w:sz w:val="18"/>
          <w:szCs w:val="18"/>
          <w:lang w:val="en-US"/>
        </w:rPr>
        <w:t xml:space="preserve"> (2018), </w:t>
      </w:r>
      <w:r w:rsidRPr="0057550B">
        <w:rPr>
          <w:rFonts w:ascii="Arial" w:hAnsi="Arial" w:cs="Arial"/>
          <w:i/>
          <w:sz w:val="18"/>
          <w:szCs w:val="18"/>
          <w:lang w:val="en-US"/>
        </w:rPr>
        <w:t>op. cit.</w:t>
      </w:r>
      <w:r w:rsidRPr="0057550B">
        <w:rPr>
          <w:rFonts w:ascii="Arial" w:hAnsi="Arial" w:cs="Arial"/>
          <w:sz w:val="18"/>
          <w:szCs w:val="18"/>
          <w:lang w:val="en-US"/>
        </w:rPr>
        <w:t>, p. 344</w:t>
      </w:r>
    </w:p>
  </w:footnote>
  <w:footnote w:id="83">
    <w:p w:rsidR="00B43466" w:rsidRPr="0057550B" w:rsidRDefault="00B43466" w:rsidP="004D4002">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w:t>
      </w:r>
      <w:r w:rsidRPr="0057550B">
        <w:rPr>
          <w:rFonts w:ascii="Arial" w:hAnsi="Arial" w:cs="Arial"/>
          <w:i/>
          <w:sz w:val="18"/>
          <w:szCs w:val="18"/>
        </w:rPr>
        <w:t>Ibídem</w:t>
      </w:r>
      <w:r w:rsidRPr="0057550B">
        <w:rPr>
          <w:rFonts w:ascii="Arial" w:hAnsi="Arial" w:cs="Arial"/>
          <w:sz w:val="18"/>
          <w:szCs w:val="18"/>
        </w:rPr>
        <w:t>.</w:t>
      </w:r>
    </w:p>
  </w:footnote>
  <w:footnote w:id="84">
    <w:p w:rsidR="00B43466" w:rsidRPr="0057550B" w:rsidRDefault="00B43466" w:rsidP="004D4002">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Fajardo et al. (2015), op. cit., p. 31.</w:t>
      </w:r>
    </w:p>
  </w:footnote>
  <w:footnote w:id="85">
    <w:p w:rsidR="00B43466" w:rsidRPr="0057550B" w:rsidRDefault="00B43466" w:rsidP="004D4002">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lang w:val="en-US"/>
        </w:rPr>
        <w:t xml:space="preserve"> Dussault, G., Franceschini, M. (2006). Not enough there, too many here: understanding geographical imbalances in the distribution of the health workforce. </w:t>
      </w:r>
      <w:r w:rsidRPr="0057550B">
        <w:rPr>
          <w:rFonts w:ascii="Arial" w:hAnsi="Arial" w:cs="Arial"/>
          <w:i/>
          <w:sz w:val="18"/>
          <w:szCs w:val="18"/>
          <w:lang w:val="en-US"/>
        </w:rPr>
        <w:t>Human Resources for Health</w:t>
      </w:r>
      <w:r w:rsidRPr="0057550B">
        <w:rPr>
          <w:rFonts w:ascii="Arial" w:hAnsi="Arial" w:cs="Arial"/>
          <w:sz w:val="18"/>
          <w:szCs w:val="18"/>
          <w:lang w:val="en-US"/>
        </w:rPr>
        <w:t>, vol. 4 (12), pp. 1-16.</w:t>
      </w:r>
    </w:p>
  </w:footnote>
  <w:footnote w:id="86">
    <w:p w:rsidR="00B43466" w:rsidRPr="0057550B" w:rsidRDefault="00B43466" w:rsidP="004D4002">
      <w:pPr>
        <w:pStyle w:val="Textonotapie"/>
        <w:rPr>
          <w:rFonts w:ascii="Arial" w:hAnsi="Arial" w:cs="Arial"/>
          <w:sz w:val="18"/>
          <w:szCs w:val="18"/>
          <w:lang w:val="en-US"/>
        </w:rPr>
      </w:pPr>
      <w:r w:rsidRPr="0057550B">
        <w:rPr>
          <w:rStyle w:val="Refdenotaalpie"/>
          <w:rFonts w:ascii="Arial" w:hAnsi="Arial" w:cs="Arial"/>
          <w:sz w:val="18"/>
          <w:szCs w:val="18"/>
        </w:rPr>
        <w:footnoteRef/>
      </w:r>
      <w:r w:rsidRPr="0057550B">
        <w:rPr>
          <w:rFonts w:ascii="Arial" w:hAnsi="Arial" w:cs="Arial"/>
          <w:sz w:val="18"/>
          <w:szCs w:val="18"/>
          <w:lang w:val="en-US"/>
        </w:rPr>
        <w:t xml:space="preserve"> </w:t>
      </w:r>
      <w:r w:rsidRPr="0057550B">
        <w:rPr>
          <w:rFonts w:ascii="Arial" w:hAnsi="Arial" w:cs="Arial"/>
          <w:i/>
          <w:sz w:val="18"/>
          <w:szCs w:val="18"/>
          <w:lang w:val="en-US"/>
        </w:rPr>
        <w:t>Ibídem</w:t>
      </w:r>
      <w:r w:rsidRPr="0057550B">
        <w:rPr>
          <w:rFonts w:ascii="Arial" w:hAnsi="Arial" w:cs="Arial"/>
          <w:sz w:val="18"/>
          <w:szCs w:val="18"/>
          <w:lang w:val="en-US"/>
        </w:rPr>
        <w:t>.</w:t>
      </w:r>
    </w:p>
  </w:footnote>
  <w:footnote w:id="87">
    <w:p w:rsidR="00B43466" w:rsidRPr="0057550B" w:rsidRDefault="00B43466" w:rsidP="004D4002">
      <w:pPr>
        <w:pStyle w:val="Textonotapie"/>
        <w:jc w:val="both"/>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lang w:val="en-US"/>
        </w:rPr>
        <w:t xml:space="preserve"> Ruelas, E., Alonso, A. (2015). </w:t>
      </w:r>
      <w:r w:rsidRPr="0057550B">
        <w:rPr>
          <w:rFonts w:ascii="Arial" w:hAnsi="Arial" w:cs="Arial"/>
          <w:sz w:val="18"/>
          <w:szCs w:val="18"/>
        </w:rPr>
        <w:t xml:space="preserve">Imágenes generales sobre la posible evolución futura de las especialidades médicas. En </w:t>
      </w:r>
      <w:r w:rsidRPr="0057550B">
        <w:rPr>
          <w:rFonts w:ascii="Arial" w:hAnsi="Arial" w:cs="Arial"/>
          <w:i/>
          <w:sz w:val="18"/>
          <w:szCs w:val="18"/>
        </w:rPr>
        <w:t>Futuros de las especialidades médicas en México</w:t>
      </w:r>
      <w:r w:rsidRPr="0057550B">
        <w:rPr>
          <w:rFonts w:ascii="Arial" w:hAnsi="Arial" w:cs="Arial"/>
          <w:sz w:val="18"/>
          <w:szCs w:val="18"/>
        </w:rPr>
        <w:t xml:space="preserve"> (pp. 105-122). E. Ruelas y A. Alonso (Eds.); Academia Nacional de Medicina de México y Consejo Nacional de Ciencia y Tecnología de México; Ciudad de México.</w:t>
      </w:r>
    </w:p>
  </w:footnote>
  <w:footnote w:id="88">
    <w:p w:rsidR="00B43466" w:rsidRPr="0057550B" w:rsidRDefault="00B43466" w:rsidP="004D4002">
      <w:pPr>
        <w:pStyle w:val="Textonotapie"/>
        <w:jc w:val="both"/>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89">
    <w:p w:rsidR="00B43466" w:rsidRPr="0057550B" w:rsidRDefault="00B43466" w:rsidP="004D4002">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INEGI (2019a). </w:t>
      </w:r>
      <w:r w:rsidRPr="0057550B">
        <w:rPr>
          <w:rFonts w:ascii="Arial" w:hAnsi="Arial" w:cs="Arial"/>
          <w:i/>
          <w:sz w:val="18"/>
          <w:szCs w:val="18"/>
        </w:rPr>
        <w:t>Encuesta Nacional de Ocupación y Empleo (ENOE), 4to trimestre de 2018</w:t>
      </w:r>
      <w:r w:rsidRPr="0057550B">
        <w:rPr>
          <w:rFonts w:ascii="Arial" w:hAnsi="Arial" w:cs="Arial"/>
          <w:sz w:val="18"/>
          <w:szCs w:val="18"/>
        </w:rPr>
        <w:t>. Consultado el 26/03/2019 de https://www.inegi.org.mx/programas/enoe/15ymas/default.html</w:t>
      </w:r>
    </w:p>
  </w:footnote>
  <w:footnote w:id="90">
    <w:p w:rsidR="00B43466" w:rsidRPr="0057550B" w:rsidRDefault="00B43466" w:rsidP="004D4002">
      <w:pPr>
        <w:pStyle w:val="Textonotapie"/>
        <w:jc w:val="both"/>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Nigenda, G., Alcalde, J., González, L., Serván, E., García, S., Lozano, R. (2016). Eficiencia de los recursos humanos en salud: una aproximación a su análisis en México. </w:t>
      </w:r>
      <w:r w:rsidRPr="0057550B">
        <w:rPr>
          <w:rFonts w:ascii="Arial" w:hAnsi="Arial" w:cs="Arial"/>
          <w:i/>
          <w:sz w:val="18"/>
          <w:szCs w:val="18"/>
        </w:rPr>
        <w:t>Salud Pública de México</w:t>
      </w:r>
      <w:r w:rsidRPr="0057550B">
        <w:rPr>
          <w:rFonts w:ascii="Arial" w:hAnsi="Arial" w:cs="Arial"/>
          <w:sz w:val="18"/>
          <w:szCs w:val="18"/>
        </w:rPr>
        <w:t>, vol. 58 (5), pp. 533-542.</w:t>
      </w:r>
    </w:p>
  </w:footnote>
  <w:footnote w:id="91">
    <w:p w:rsidR="00B43466" w:rsidRPr="0057550B" w:rsidRDefault="00B43466" w:rsidP="004D4002">
      <w:pPr>
        <w:pStyle w:val="Textonotapie"/>
        <w:jc w:val="both"/>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Hernández, E., Solís, R., Stefanovich, A. (2012). Análisis del equilibrio entre oferta y demanda de profesionistas en el período 2001-2009. En </w:t>
      </w:r>
      <w:r w:rsidRPr="0057550B">
        <w:rPr>
          <w:rFonts w:ascii="Arial" w:hAnsi="Arial" w:cs="Arial"/>
          <w:i/>
          <w:sz w:val="18"/>
          <w:szCs w:val="18"/>
        </w:rPr>
        <w:t>Mercado laboral de profesionistas en México. Diagnóstico (2000-2009) y prospectiva (2010-2020)</w:t>
      </w:r>
      <w:r w:rsidRPr="0057550B">
        <w:rPr>
          <w:rFonts w:ascii="Arial" w:hAnsi="Arial" w:cs="Arial"/>
          <w:sz w:val="18"/>
          <w:szCs w:val="18"/>
        </w:rPr>
        <w:t xml:space="preserve"> (pp. 251-267), E. Hernández (Coord.). Asociación Nacional de Universidades e Instituciones de Educación Superior; Ciudad de México. </w:t>
      </w:r>
    </w:p>
  </w:footnote>
  <w:footnote w:id="92">
    <w:p w:rsidR="00B43466" w:rsidRPr="0057550B" w:rsidRDefault="00B43466" w:rsidP="004D4002">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INEGI (2019a), </w:t>
      </w:r>
      <w:r w:rsidRPr="0057550B">
        <w:rPr>
          <w:rFonts w:ascii="Arial" w:hAnsi="Arial" w:cs="Arial"/>
          <w:i/>
          <w:sz w:val="18"/>
          <w:szCs w:val="18"/>
        </w:rPr>
        <w:t>op. cit.</w:t>
      </w:r>
      <w:r w:rsidRPr="0057550B">
        <w:rPr>
          <w:rFonts w:ascii="Arial" w:hAnsi="Arial" w:cs="Arial"/>
          <w:sz w:val="18"/>
          <w:szCs w:val="18"/>
        </w:rPr>
        <w:t>, s.p.</w:t>
      </w:r>
    </w:p>
  </w:footnote>
  <w:footnote w:id="93">
    <w:p w:rsidR="00B43466" w:rsidRDefault="00B43466" w:rsidP="004D4002">
      <w:pPr>
        <w:pStyle w:val="Textonotapie"/>
      </w:pPr>
      <w:r>
        <w:rPr>
          <w:rStyle w:val="Refdenotaalpie"/>
        </w:rPr>
        <w:footnoteRef/>
      </w:r>
      <w:r>
        <w:t xml:space="preserve"> </w:t>
      </w:r>
      <w:r w:rsidRPr="009F3F6B">
        <w:rPr>
          <w:i/>
        </w:rPr>
        <w:t>Ibídem</w:t>
      </w:r>
      <w:r>
        <w:t>.</w:t>
      </w:r>
    </w:p>
  </w:footnote>
  <w:footnote w:id="94">
    <w:p w:rsidR="00B43466" w:rsidRDefault="00B43466" w:rsidP="004D4002">
      <w:pPr>
        <w:pStyle w:val="Textonotapie"/>
      </w:pPr>
      <w:r>
        <w:rPr>
          <w:rStyle w:val="Refdenotaalpie"/>
        </w:rPr>
        <w:footnoteRef/>
      </w:r>
      <w:r>
        <w:t xml:space="preserve"> </w:t>
      </w:r>
      <w:r w:rsidRPr="009F3F6B">
        <w:rPr>
          <w:i/>
        </w:rPr>
        <w:t>Ibídem</w:t>
      </w:r>
      <w:r>
        <w:t>.</w:t>
      </w:r>
    </w:p>
  </w:footnote>
  <w:footnote w:id="95">
    <w:p w:rsidR="00B43466" w:rsidRPr="0057550B" w:rsidRDefault="00B43466" w:rsidP="00D50118">
      <w:pPr>
        <w:pStyle w:val="Textonotapie"/>
        <w:ind w:left="142" w:hanging="142"/>
        <w:rPr>
          <w:sz w:val="18"/>
          <w:szCs w:val="18"/>
        </w:rPr>
      </w:pPr>
      <w:r w:rsidRPr="0057550B">
        <w:rPr>
          <w:rStyle w:val="Refdenotaalpie"/>
          <w:rFonts w:ascii="Arial" w:hAnsi="Arial" w:cs="Arial"/>
          <w:sz w:val="18"/>
          <w:szCs w:val="18"/>
        </w:rPr>
        <w:footnoteRef/>
      </w:r>
      <w:r w:rsidRPr="0057550B">
        <w:rPr>
          <w:sz w:val="18"/>
          <w:szCs w:val="18"/>
        </w:rPr>
        <w:t xml:space="preserve"> </w:t>
      </w:r>
      <w:r w:rsidRPr="0057550B">
        <w:rPr>
          <w:rFonts w:ascii="Arial" w:hAnsi="Arial" w:cs="Arial"/>
          <w:sz w:val="18"/>
          <w:szCs w:val="18"/>
        </w:rPr>
        <w:t xml:space="preserve">Instituto Nacional de Salud Pública (2017). </w:t>
      </w:r>
      <w:r w:rsidRPr="0057550B">
        <w:rPr>
          <w:rFonts w:ascii="Arial" w:hAnsi="Arial" w:cs="Arial"/>
          <w:i/>
          <w:sz w:val="18"/>
          <w:szCs w:val="18"/>
        </w:rPr>
        <w:t xml:space="preserve">Brechas en la disponibilidad de médicos y enfermeras especialistas en el sistema nacional de salud. </w:t>
      </w:r>
      <w:r w:rsidRPr="0057550B">
        <w:rPr>
          <w:rFonts w:ascii="Arial" w:hAnsi="Arial" w:cs="Arial"/>
          <w:sz w:val="18"/>
          <w:szCs w:val="18"/>
        </w:rPr>
        <w:t>México. [En línea]. http://www.cifrhs.salud.gob.mx/site1/residencias/brechas_medico_enf_esp.pdf [Consulta el 14 de diciembre de 2018].</w:t>
      </w:r>
    </w:p>
  </w:footnote>
  <w:footnote w:id="96">
    <w:p w:rsidR="00B43466" w:rsidRPr="0057550B" w:rsidRDefault="00B43466" w:rsidP="00D50118">
      <w:pPr>
        <w:pStyle w:val="Textonotapie"/>
        <w:ind w:left="142" w:hanging="142"/>
        <w:rPr>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Fajardo, G. </w:t>
      </w:r>
      <w:r w:rsidRPr="0057550B">
        <w:rPr>
          <w:rFonts w:ascii="Arial" w:hAnsi="Arial" w:cs="Arial"/>
          <w:i/>
          <w:sz w:val="18"/>
          <w:szCs w:val="18"/>
        </w:rPr>
        <w:t xml:space="preserve">et al. </w:t>
      </w:r>
      <w:r w:rsidRPr="0057550B">
        <w:rPr>
          <w:rFonts w:ascii="Arial" w:hAnsi="Arial" w:cs="Arial"/>
          <w:sz w:val="18"/>
          <w:szCs w:val="18"/>
        </w:rPr>
        <w:t xml:space="preserve">(2015). </w:t>
      </w:r>
      <w:r w:rsidRPr="0057550B">
        <w:rPr>
          <w:rFonts w:ascii="Arial" w:hAnsi="Arial" w:cs="Arial"/>
          <w:i/>
          <w:sz w:val="18"/>
          <w:szCs w:val="18"/>
        </w:rPr>
        <w:t xml:space="preserve">La formación de médicos especialistas en México. </w:t>
      </w:r>
      <w:r w:rsidRPr="0057550B">
        <w:rPr>
          <w:rFonts w:ascii="Arial" w:hAnsi="Arial" w:cs="Arial"/>
          <w:sz w:val="18"/>
          <w:szCs w:val="18"/>
        </w:rPr>
        <w:t>México: Academia Nacional de Medicina.</w:t>
      </w:r>
    </w:p>
  </w:footnote>
  <w:footnote w:id="97">
    <w:p w:rsidR="00B43466" w:rsidRPr="0057550B" w:rsidRDefault="00B43466" w:rsidP="00FA5B99">
      <w:pPr>
        <w:pStyle w:val="Textonotapie"/>
        <w:rPr>
          <w:rFonts w:ascii="Arial" w:hAnsi="Arial" w:cs="Arial"/>
          <w:sz w:val="18"/>
          <w:szCs w:val="18"/>
        </w:rPr>
      </w:pPr>
      <w:r w:rsidRPr="0057550B">
        <w:rPr>
          <w:rStyle w:val="Refdenotaalpie"/>
          <w:rFonts w:ascii="Arial" w:hAnsi="Arial" w:cs="Arial"/>
          <w:sz w:val="18"/>
          <w:szCs w:val="18"/>
        </w:rPr>
        <w:footnoteRef/>
      </w:r>
      <w:r w:rsidRPr="0057550B">
        <w:rPr>
          <w:rStyle w:val="Refdenotaalpie"/>
          <w:rFonts w:ascii="Arial" w:hAnsi="Arial" w:cs="Arial"/>
          <w:sz w:val="18"/>
          <w:szCs w:val="18"/>
        </w:rPr>
        <w:t xml:space="preserve"> </w:t>
      </w:r>
      <w:r w:rsidRPr="0057550B">
        <w:rPr>
          <w:rFonts w:ascii="Arial" w:hAnsi="Arial" w:cs="Arial"/>
          <w:sz w:val="18"/>
          <w:szCs w:val="18"/>
        </w:rPr>
        <w:t xml:space="preserve">García, S. (2013). Cuenta México con pocas enfermeras especializadas en pacientes en estado crítico, </w:t>
      </w:r>
      <w:r w:rsidRPr="0057550B">
        <w:rPr>
          <w:rFonts w:ascii="Arial" w:hAnsi="Arial" w:cs="Arial"/>
          <w:i/>
          <w:sz w:val="18"/>
          <w:szCs w:val="18"/>
        </w:rPr>
        <w:t>Boletín UNAM-DGCS-686</w:t>
      </w:r>
      <w:r w:rsidRPr="0057550B">
        <w:rPr>
          <w:rFonts w:ascii="Arial" w:hAnsi="Arial" w:cs="Arial"/>
          <w:sz w:val="18"/>
          <w:szCs w:val="18"/>
        </w:rPr>
        <w:t xml:space="preserve">. Ciudad Universitaria. México. </w:t>
      </w:r>
    </w:p>
  </w:footnote>
  <w:footnote w:id="98">
    <w:p w:rsidR="00B43466" w:rsidRPr="0057550B" w:rsidRDefault="00B43466" w:rsidP="00FA5B99">
      <w:pPr>
        <w:pStyle w:val="Textonotapie"/>
        <w:rPr>
          <w:rFonts w:ascii="Arial" w:hAnsi="Arial" w:cs="Arial"/>
          <w:sz w:val="18"/>
          <w:szCs w:val="18"/>
        </w:rPr>
      </w:pPr>
      <w:r w:rsidRPr="0057550B">
        <w:rPr>
          <w:rStyle w:val="Refdenotaalpie"/>
          <w:rFonts w:ascii="Arial" w:hAnsi="Arial" w:cs="Arial"/>
          <w:sz w:val="18"/>
          <w:szCs w:val="18"/>
        </w:rPr>
        <w:footnoteRef/>
      </w:r>
      <w:r w:rsidRPr="0057550B">
        <w:rPr>
          <w:rFonts w:ascii="Arial" w:hAnsi="Arial" w:cs="Arial"/>
          <w:sz w:val="18"/>
          <w:szCs w:val="18"/>
        </w:rPr>
        <w:t xml:space="preserve"> </w:t>
      </w:r>
      <w:r w:rsidRPr="0057550B">
        <w:rPr>
          <w:rFonts w:ascii="Arial" w:hAnsi="Arial" w:cs="Arial"/>
          <w:i/>
          <w:sz w:val="18"/>
          <w:szCs w:val="18"/>
        </w:rPr>
        <w:t>Ibidem</w:t>
      </w:r>
      <w:r w:rsidRPr="0057550B">
        <w:rPr>
          <w:rFonts w:ascii="Arial" w:hAnsi="Arial" w:cs="Arial"/>
          <w:sz w:val="18"/>
          <w:szCs w:val="18"/>
        </w:rPr>
        <w:t>, p. 117-118.</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43466" w:rsidRDefault="00B43466">
    <w:pPr>
      <w:pStyle w:val="Encabezado"/>
    </w:pPr>
  </w:p>
  <w:p w:rsidR="00B43466" w:rsidRDefault="00B43466">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79614DD"/>
    <w:multiLevelType w:val="hybridMultilevel"/>
    <w:tmpl w:val="26FC1EB2"/>
    <w:lvl w:ilvl="0" w:tplc="0C0A0011">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5"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68CF0B1D"/>
    <w:multiLevelType w:val="hybridMultilevel"/>
    <w:tmpl w:val="FA705722"/>
    <w:lvl w:ilvl="0" w:tplc="469C33D0">
      <w:start w:val="1"/>
      <w:numFmt w:val="bullet"/>
      <w:lvlText w:val=""/>
      <w:lvlJc w:val="left"/>
      <w:pPr>
        <w:tabs>
          <w:tab w:val="num" w:pos="360"/>
        </w:tabs>
        <w:ind w:left="170" w:hanging="170"/>
      </w:pPr>
      <w:rPr>
        <w:rFonts w:ascii="Symbol" w:hAnsi="Symbol" w:cs="Times New Roman" w:hint="default"/>
        <w:sz w:val="16"/>
      </w:rPr>
    </w:lvl>
    <w:lvl w:ilvl="1" w:tplc="0C0A0003">
      <w:start w:val="1"/>
      <w:numFmt w:val="bullet"/>
      <w:lvlText w:val="o"/>
      <w:lvlJc w:val="left"/>
      <w:pPr>
        <w:tabs>
          <w:tab w:val="num" w:pos="1440"/>
        </w:tabs>
        <w:ind w:left="1440" w:hanging="360"/>
      </w:pPr>
      <w:rPr>
        <w:rFonts w:ascii="Courier New" w:hAnsi="Courier New" w:cs="Times New Roman"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cs="Times New Roman"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cs="Times New Roman"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0"/>
  </w:num>
  <w:num w:numId="4">
    <w:abstractNumId w:val="6"/>
  </w:num>
  <w:num w:numId="5">
    <w:abstractNumId w:val="4"/>
  </w:num>
  <w:num w:numId="6">
    <w:abstractNumId w:val="3"/>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7"/>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37A8"/>
    <w:rsid w:val="00005E66"/>
    <w:rsid w:val="00006613"/>
    <w:rsid w:val="000072F7"/>
    <w:rsid w:val="0002197D"/>
    <w:rsid w:val="00024903"/>
    <w:rsid w:val="00025AAE"/>
    <w:rsid w:val="00027BC6"/>
    <w:rsid w:val="000369A6"/>
    <w:rsid w:val="00047ED0"/>
    <w:rsid w:val="00053DB1"/>
    <w:rsid w:val="00056961"/>
    <w:rsid w:val="00060E9A"/>
    <w:rsid w:val="00063193"/>
    <w:rsid w:val="00071E6F"/>
    <w:rsid w:val="00075C3B"/>
    <w:rsid w:val="00082F49"/>
    <w:rsid w:val="000832E9"/>
    <w:rsid w:val="00093CD0"/>
    <w:rsid w:val="000A626E"/>
    <w:rsid w:val="000B7BD1"/>
    <w:rsid w:val="000C1A8D"/>
    <w:rsid w:val="000D099B"/>
    <w:rsid w:val="000D1C0C"/>
    <w:rsid w:val="000D35A1"/>
    <w:rsid w:val="000E0F35"/>
    <w:rsid w:val="000E18B4"/>
    <w:rsid w:val="000E19B0"/>
    <w:rsid w:val="000E4DEE"/>
    <w:rsid w:val="000F4E6C"/>
    <w:rsid w:val="001117B1"/>
    <w:rsid w:val="0011232C"/>
    <w:rsid w:val="00141799"/>
    <w:rsid w:val="00143352"/>
    <w:rsid w:val="001535BB"/>
    <w:rsid w:val="00153EB1"/>
    <w:rsid w:val="0015457B"/>
    <w:rsid w:val="00161A74"/>
    <w:rsid w:val="00167C0E"/>
    <w:rsid w:val="001705C1"/>
    <w:rsid w:val="0017424F"/>
    <w:rsid w:val="001764E1"/>
    <w:rsid w:val="00180AEE"/>
    <w:rsid w:val="00181337"/>
    <w:rsid w:val="0018256F"/>
    <w:rsid w:val="00184227"/>
    <w:rsid w:val="001958ED"/>
    <w:rsid w:val="001B1BDD"/>
    <w:rsid w:val="001B5C0D"/>
    <w:rsid w:val="001C305E"/>
    <w:rsid w:val="001C4F2A"/>
    <w:rsid w:val="001D15A1"/>
    <w:rsid w:val="001D1A17"/>
    <w:rsid w:val="001D6464"/>
    <w:rsid w:val="001E1621"/>
    <w:rsid w:val="001E1643"/>
    <w:rsid w:val="001E1A7D"/>
    <w:rsid w:val="001E3EDD"/>
    <w:rsid w:val="00200D27"/>
    <w:rsid w:val="002113EA"/>
    <w:rsid w:val="0022194C"/>
    <w:rsid w:val="0022276C"/>
    <w:rsid w:val="002247B4"/>
    <w:rsid w:val="00226B76"/>
    <w:rsid w:val="002409D1"/>
    <w:rsid w:val="00250A8C"/>
    <w:rsid w:val="00251196"/>
    <w:rsid w:val="00255E84"/>
    <w:rsid w:val="002606AE"/>
    <w:rsid w:val="002607BF"/>
    <w:rsid w:val="0026331C"/>
    <w:rsid w:val="00264172"/>
    <w:rsid w:val="0026455A"/>
    <w:rsid w:val="00265088"/>
    <w:rsid w:val="002832EC"/>
    <w:rsid w:val="00283358"/>
    <w:rsid w:val="00284D5A"/>
    <w:rsid w:val="002853F8"/>
    <w:rsid w:val="002875CE"/>
    <w:rsid w:val="002969C7"/>
    <w:rsid w:val="002A12B4"/>
    <w:rsid w:val="002A23A3"/>
    <w:rsid w:val="002A2B5F"/>
    <w:rsid w:val="002A3005"/>
    <w:rsid w:val="002A69DE"/>
    <w:rsid w:val="002B1539"/>
    <w:rsid w:val="002B17C0"/>
    <w:rsid w:val="002B6765"/>
    <w:rsid w:val="002C3B99"/>
    <w:rsid w:val="002C56F7"/>
    <w:rsid w:val="002C5A07"/>
    <w:rsid w:val="002C61E0"/>
    <w:rsid w:val="002C7CEA"/>
    <w:rsid w:val="002E1464"/>
    <w:rsid w:val="002E614E"/>
    <w:rsid w:val="00303396"/>
    <w:rsid w:val="00305A47"/>
    <w:rsid w:val="003136C8"/>
    <w:rsid w:val="00330BA9"/>
    <w:rsid w:val="00333BD8"/>
    <w:rsid w:val="00336BCF"/>
    <w:rsid w:val="0034209C"/>
    <w:rsid w:val="00344BD2"/>
    <w:rsid w:val="003547E4"/>
    <w:rsid w:val="0036094B"/>
    <w:rsid w:val="00367379"/>
    <w:rsid w:val="003806C1"/>
    <w:rsid w:val="00382164"/>
    <w:rsid w:val="003828EF"/>
    <w:rsid w:val="00392B35"/>
    <w:rsid w:val="003A0CA3"/>
    <w:rsid w:val="003A6BE9"/>
    <w:rsid w:val="003B0C89"/>
    <w:rsid w:val="003B3BB4"/>
    <w:rsid w:val="003B69F3"/>
    <w:rsid w:val="003C233F"/>
    <w:rsid w:val="003C287F"/>
    <w:rsid w:val="003C6192"/>
    <w:rsid w:val="003C7AF5"/>
    <w:rsid w:val="003D0DFA"/>
    <w:rsid w:val="003D4962"/>
    <w:rsid w:val="003E1A49"/>
    <w:rsid w:val="003F407C"/>
    <w:rsid w:val="003F54FE"/>
    <w:rsid w:val="00400088"/>
    <w:rsid w:val="004017B6"/>
    <w:rsid w:val="00410931"/>
    <w:rsid w:val="00412EB8"/>
    <w:rsid w:val="00422DE7"/>
    <w:rsid w:val="004357A8"/>
    <w:rsid w:val="004468C6"/>
    <w:rsid w:val="00456F45"/>
    <w:rsid w:val="004727D4"/>
    <w:rsid w:val="00474BD7"/>
    <w:rsid w:val="004A107D"/>
    <w:rsid w:val="004A128F"/>
    <w:rsid w:val="004A1D76"/>
    <w:rsid w:val="004C364E"/>
    <w:rsid w:val="004C3683"/>
    <w:rsid w:val="004C3DC5"/>
    <w:rsid w:val="004C7871"/>
    <w:rsid w:val="004D4002"/>
    <w:rsid w:val="004E4CD6"/>
    <w:rsid w:val="004F3312"/>
    <w:rsid w:val="004F6C7B"/>
    <w:rsid w:val="0050349E"/>
    <w:rsid w:val="00505466"/>
    <w:rsid w:val="0051348F"/>
    <w:rsid w:val="005264B6"/>
    <w:rsid w:val="00530B9F"/>
    <w:rsid w:val="0055035B"/>
    <w:rsid w:val="00552393"/>
    <w:rsid w:val="00554148"/>
    <w:rsid w:val="00556024"/>
    <w:rsid w:val="005637EE"/>
    <w:rsid w:val="0057550B"/>
    <w:rsid w:val="005770F2"/>
    <w:rsid w:val="00577F0A"/>
    <w:rsid w:val="00583666"/>
    <w:rsid w:val="00590928"/>
    <w:rsid w:val="00593C12"/>
    <w:rsid w:val="00596679"/>
    <w:rsid w:val="005968A3"/>
    <w:rsid w:val="00596B13"/>
    <w:rsid w:val="005A570B"/>
    <w:rsid w:val="005B0BF9"/>
    <w:rsid w:val="005B4C39"/>
    <w:rsid w:val="005B6CA1"/>
    <w:rsid w:val="005E791A"/>
    <w:rsid w:val="005F4031"/>
    <w:rsid w:val="00603BE8"/>
    <w:rsid w:val="00606030"/>
    <w:rsid w:val="00615EF2"/>
    <w:rsid w:val="0062057F"/>
    <w:rsid w:val="00631577"/>
    <w:rsid w:val="00634486"/>
    <w:rsid w:val="00635921"/>
    <w:rsid w:val="0063664A"/>
    <w:rsid w:val="00636985"/>
    <w:rsid w:val="00645D73"/>
    <w:rsid w:val="00645DA0"/>
    <w:rsid w:val="0065778B"/>
    <w:rsid w:val="00663CF6"/>
    <w:rsid w:val="006667D9"/>
    <w:rsid w:val="00672F15"/>
    <w:rsid w:val="0068458F"/>
    <w:rsid w:val="00684A82"/>
    <w:rsid w:val="00694704"/>
    <w:rsid w:val="006A0F5B"/>
    <w:rsid w:val="006A7CFA"/>
    <w:rsid w:val="006D1C86"/>
    <w:rsid w:val="006D227A"/>
    <w:rsid w:val="006E1936"/>
    <w:rsid w:val="006E69B6"/>
    <w:rsid w:val="006E7C0A"/>
    <w:rsid w:val="00702C43"/>
    <w:rsid w:val="00706600"/>
    <w:rsid w:val="0071010C"/>
    <w:rsid w:val="00710849"/>
    <w:rsid w:val="00711294"/>
    <w:rsid w:val="007131A5"/>
    <w:rsid w:val="007170D9"/>
    <w:rsid w:val="00725113"/>
    <w:rsid w:val="0072703E"/>
    <w:rsid w:val="007362F8"/>
    <w:rsid w:val="007407E4"/>
    <w:rsid w:val="00743DA6"/>
    <w:rsid w:val="0076036F"/>
    <w:rsid w:val="0077063C"/>
    <w:rsid w:val="00775C00"/>
    <w:rsid w:val="00787A9D"/>
    <w:rsid w:val="007A33D0"/>
    <w:rsid w:val="007A3C36"/>
    <w:rsid w:val="007B7468"/>
    <w:rsid w:val="007D48C4"/>
    <w:rsid w:val="007E1312"/>
    <w:rsid w:val="007F172D"/>
    <w:rsid w:val="007F2637"/>
    <w:rsid w:val="00804DD8"/>
    <w:rsid w:val="00806FC7"/>
    <w:rsid w:val="008216E3"/>
    <w:rsid w:val="0082403C"/>
    <w:rsid w:val="00826225"/>
    <w:rsid w:val="008266B7"/>
    <w:rsid w:val="00826DDB"/>
    <w:rsid w:val="00831454"/>
    <w:rsid w:val="00831EF0"/>
    <w:rsid w:val="00837CCA"/>
    <w:rsid w:val="00840179"/>
    <w:rsid w:val="00841353"/>
    <w:rsid w:val="00841A01"/>
    <w:rsid w:val="00865205"/>
    <w:rsid w:val="00866F45"/>
    <w:rsid w:val="008733C1"/>
    <w:rsid w:val="0089066F"/>
    <w:rsid w:val="00892B10"/>
    <w:rsid w:val="00893CC1"/>
    <w:rsid w:val="008A08A7"/>
    <w:rsid w:val="008B176E"/>
    <w:rsid w:val="008B2C56"/>
    <w:rsid w:val="008B38E4"/>
    <w:rsid w:val="008C4960"/>
    <w:rsid w:val="008C4983"/>
    <w:rsid w:val="008D27F5"/>
    <w:rsid w:val="008E007C"/>
    <w:rsid w:val="008E3000"/>
    <w:rsid w:val="008E4D2C"/>
    <w:rsid w:val="008F0237"/>
    <w:rsid w:val="008F5974"/>
    <w:rsid w:val="008F5CFB"/>
    <w:rsid w:val="00905371"/>
    <w:rsid w:val="009145A0"/>
    <w:rsid w:val="00917EDF"/>
    <w:rsid w:val="0092117C"/>
    <w:rsid w:val="00935B01"/>
    <w:rsid w:val="00936774"/>
    <w:rsid w:val="009424BB"/>
    <w:rsid w:val="00942CBB"/>
    <w:rsid w:val="009467EE"/>
    <w:rsid w:val="00947C39"/>
    <w:rsid w:val="009604E3"/>
    <w:rsid w:val="009663D0"/>
    <w:rsid w:val="00994730"/>
    <w:rsid w:val="00994D59"/>
    <w:rsid w:val="009A2D7F"/>
    <w:rsid w:val="009B0692"/>
    <w:rsid w:val="009B3D47"/>
    <w:rsid w:val="009B4BAA"/>
    <w:rsid w:val="009C5BC9"/>
    <w:rsid w:val="009C76FA"/>
    <w:rsid w:val="009D00E1"/>
    <w:rsid w:val="009D182F"/>
    <w:rsid w:val="009D3081"/>
    <w:rsid w:val="009E49F4"/>
    <w:rsid w:val="009F3190"/>
    <w:rsid w:val="009F3C46"/>
    <w:rsid w:val="009F3CA1"/>
    <w:rsid w:val="00A0348F"/>
    <w:rsid w:val="00A12837"/>
    <w:rsid w:val="00A14A4A"/>
    <w:rsid w:val="00A17F7A"/>
    <w:rsid w:val="00A21A5F"/>
    <w:rsid w:val="00A330B8"/>
    <w:rsid w:val="00A34CFE"/>
    <w:rsid w:val="00A40A9E"/>
    <w:rsid w:val="00A530B8"/>
    <w:rsid w:val="00A53AF4"/>
    <w:rsid w:val="00A53C00"/>
    <w:rsid w:val="00A54C4D"/>
    <w:rsid w:val="00A732A1"/>
    <w:rsid w:val="00A74D3F"/>
    <w:rsid w:val="00A75077"/>
    <w:rsid w:val="00A7554D"/>
    <w:rsid w:val="00A77496"/>
    <w:rsid w:val="00A83698"/>
    <w:rsid w:val="00A87809"/>
    <w:rsid w:val="00A907DC"/>
    <w:rsid w:val="00A909D5"/>
    <w:rsid w:val="00AA24F9"/>
    <w:rsid w:val="00AA44B6"/>
    <w:rsid w:val="00AA5FA1"/>
    <w:rsid w:val="00AB37A8"/>
    <w:rsid w:val="00AB51CF"/>
    <w:rsid w:val="00AC75EE"/>
    <w:rsid w:val="00AD1C2F"/>
    <w:rsid w:val="00AD1CDD"/>
    <w:rsid w:val="00AD6133"/>
    <w:rsid w:val="00AD7EC7"/>
    <w:rsid w:val="00AE5EC3"/>
    <w:rsid w:val="00AE72B5"/>
    <w:rsid w:val="00AF1127"/>
    <w:rsid w:val="00AF2FC2"/>
    <w:rsid w:val="00AF6E0D"/>
    <w:rsid w:val="00B0344A"/>
    <w:rsid w:val="00B0528C"/>
    <w:rsid w:val="00B052C1"/>
    <w:rsid w:val="00B117DF"/>
    <w:rsid w:val="00B12CF9"/>
    <w:rsid w:val="00B1790F"/>
    <w:rsid w:val="00B25185"/>
    <w:rsid w:val="00B350E5"/>
    <w:rsid w:val="00B418B4"/>
    <w:rsid w:val="00B43466"/>
    <w:rsid w:val="00B47C41"/>
    <w:rsid w:val="00B525E9"/>
    <w:rsid w:val="00B6268C"/>
    <w:rsid w:val="00B65400"/>
    <w:rsid w:val="00B70893"/>
    <w:rsid w:val="00B7170A"/>
    <w:rsid w:val="00B71FFC"/>
    <w:rsid w:val="00B779A4"/>
    <w:rsid w:val="00B833EB"/>
    <w:rsid w:val="00B872BB"/>
    <w:rsid w:val="00B97C2A"/>
    <w:rsid w:val="00BB156F"/>
    <w:rsid w:val="00BB6B78"/>
    <w:rsid w:val="00BB7A5C"/>
    <w:rsid w:val="00BC1C54"/>
    <w:rsid w:val="00BC5126"/>
    <w:rsid w:val="00BE0125"/>
    <w:rsid w:val="00BE1A3E"/>
    <w:rsid w:val="00BF11B2"/>
    <w:rsid w:val="00C04120"/>
    <w:rsid w:val="00C150F3"/>
    <w:rsid w:val="00C309BE"/>
    <w:rsid w:val="00C3138B"/>
    <w:rsid w:val="00C4058E"/>
    <w:rsid w:val="00C413C7"/>
    <w:rsid w:val="00C56D65"/>
    <w:rsid w:val="00C65C51"/>
    <w:rsid w:val="00C751CA"/>
    <w:rsid w:val="00C75DC2"/>
    <w:rsid w:val="00C80D67"/>
    <w:rsid w:val="00C84F5B"/>
    <w:rsid w:val="00C87947"/>
    <w:rsid w:val="00CB0602"/>
    <w:rsid w:val="00CB4B80"/>
    <w:rsid w:val="00CB55C7"/>
    <w:rsid w:val="00CC2765"/>
    <w:rsid w:val="00CC2B32"/>
    <w:rsid w:val="00CC305A"/>
    <w:rsid w:val="00CC5AA9"/>
    <w:rsid w:val="00CC6713"/>
    <w:rsid w:val="00CD01E8"/>
    <w:rsid w:val="00CD282B"/>
    <w:rsid w:val="00CD5CCD"/>
    <w:rsid w:val="00CE4425"/>
    <w:rsid w:val="00CF1F47"/>
    <w:rsid w:val="00CF50E0"/>
    <w:rsid w:val="00D052FF"/>
    <w:rsid w:val="00D1270A"/>
    <w:rsid w:val="00D17B67"/>
    <w:rsid w:val="00D21B8C"/>
    <w:rsid w:val="00D27BBB"/>
    <w:rsid w:val="00D34F8C"/>
    <w:rsid w:val="00D36F68"/>
    <w:rsid w:val="00D4730B"/>
    <w:rsid w:val="00D50118"/>
    <w:rsid w:val="00D57F9D"/>
    <w:rsid w:val="00D6078D"/>
    <w:rsid w:val="00D61936"/>
    <w:rsid w:val="00D62B0B"/>
    <w:rsid w:val="00D65FB6"/>
    <w:rsid w:val="00D777D6"/>
    <w:rsid w:val="00D77E3E"/>
    <w:rsid w:val="00D77FF4"/>
    <w:rsid w:val="00D82279"/>
    <w:rsid w:val="00D91DE2"/>
    <w:rsid w:val="00D93528"/>
    <w:rsid w:val="00D95763"/>
    <w:rsid w:val="00DA1375"/>
    <w:rsid w:val="00DB4549"/>
    <w:rsid w:val="00DF1B59"/>
    <w:rsid w:val="00DF277F"/>
    <w:rsid w:val="00DF4B71"/>
    <w:rsid w:val="00E00E4F"/>
    <w:rsid w:val="00E01DFF"/>
    <w:rsid w:val="00E026C7"/>
    <w:rsid w:val="00E03199"/>
    <w:rsid w:val="00E10DBF"/>
    <w:rsid w:val="00E10EFC"/>
    <w:rsid w:val="00E1171A"/>
    <w:rsid w:val="00E1329F"/>
    <w:rsid w:val="00E14942"/>
    <w:rsid w:val="00E21367"/>
    <w:rsid w:val="00E21FF4"/>
    <w:rsid w:val="00E25219"/>
    <w:rsid w:val="00E27CDD"/>
    <w:rsid w:val="00E32CED"/>
    <w:rsid w:val="00E37EF9"/>
    <w:rsid w:val="00E4488F"/>
    <w:rsid w:val="00E4792E"/>
    <w:rsid w:val="00E56FD1"/>
    <w:rsid w:val="00E57961"/>
    <w:rsid w:val="00E63425"/>
    <w:rsid w:val="00E858F2"/>
    <w:rsid w:val="00E9230A"/>
    <w:rsid w:val="00E92B53"/>
    <w:rsid w:val="00EB1FA3"/>
    <w:rsid w:val="00EB3F82"/>
    <w:rsid w:val="00EC00F5"/>
    <w:rsid w:val="00EC2116"/>
    <w:rsid w:val="00EC598D"/>
    <w:rsid w:val="00ED03B4"/>
    <w:rsid w:val="00ED22C8"/>
    <w:rsid w:val="00ED6A2D"/>
    <w:rsid w:val="00EE7462"/>
    <w:rsid w:val="00EE7491"/>
    <w:rsid w:val="00EF1338"/>
    <w:rsid w:val="00F0130A"/>
    <w:rsid w:val="00F0135F"/>
    <w:rsid w:val="00F02449"/>
    <w:rsid w:val="00F03E40"/>
    <w:rsid w:val="00F060ED"/>
    <w:rsid w:val="00F110FE"/>
    <w:rsid w:val="00F16767"/>
    <w:rsid w:val="00F24081"/>
    <w:rsid w:val="00F24825"/>
    <w:rsid w:val="00F24CE2"/>
    <w:rsid w:val="00F325F4"/>
    <w:rsid w:val="00F34C2E"/>
    <w:rsid w:val="00F365F3"/>
    <w:rsid w:val="00F36A25"/>
    <w:rsid w:val="00F64152"/>
    <w:rsid w:val="00F65085"/>
    <w:rsid w:val="00F675D6"/>
    <w:rsid w:val="00F67D2F"/>
    <w:rsid w:val="00F819D5"/>
    <w:rsid w:val="00F84BC2"/>
    <w:rsid w:val="00F8627B"/>
    <w:rsid w:val="00F87234"/>
    <w:rsid w:val="00F91681"/>
    <w:rsid w:val="00F92AA1"/>
    <w:rsid w:val="00F9539F"/>
    <w:rsid w:val="00FA08CE"/>
    <w:rsid w:val="00FA0ED0"/>
    <w:rsid w:val="00FA5B99"/>
    <w:rsid w:val="00FB4190"/>
    <w:rsid w:val="00FB49EB"/>
    <w:rsid w:val="00FB4E92"/>
    <w:rsid w:val="00FB575C"/>
    <w:rsid w:val="00FC4954"/>
    <w:rsid w:val="00FD48F7"/>
    <w:rsid w:val="00FE6F2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624581"/>
  <w15:docId w15:val="{F9059058-33B3-4297-A362-3B224D9CF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68A3"/>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link w:val="TextonotapieCar"/>
    <w:uiPriority w:val="99"/>
    <w:unhideWhenUsed/>
    <w:rsid w:val="000E19B0"/>
    <w:pPr>
      <w:spacing w:after="0" w:line="240" w:lineRule="auto"/>
    </w:pPr>
    <w:rPr>
      <w:sz w:val="20"/>
      <w:szCs w:val="20"/>
    </w:rPr>
  </w:style>
  <w:style w:type="character" w:customStyle="1" w:styleId="TextonotapieCar">
    <w:name w:val="Texto nota pie Car"/>
    <w:basedOn w:val="Fuentedeprrafopredeter"/>
    <w:link w:val="Textonotapie"/>
    <w:uiPriority w:val="99"/>
    <w:rsid w:val="000E19B0"/>
    <w:rPr>
      <w:sz w:val="20"/>
      <w:szCs w:val="20"/>
    </w:rPr>
  </w:style>
  <w:style w:type="character" w:styleId="Refdenotaalpie">
    <w:name w:val="footnote reference"/>
    <w:basedOn w:val="Fuentedeprrafopredeter"/>
    <w:uiPriority w:val="99"/>
    <w:unhideWhenUsed/>
    <w:rsid w:val="000E19B0"/>
    <w:rPr>
      <w:vertAlign w:val="superscript"/>
    </w:rPr>
  </w:style>
  <w:style w:type="table" w:styleId="Sombreadoclaro">
    <w:name w:val="Light Shading"/>
    <w:basedOn w:val="Tablanormal"/>
    <w:uiPriority w:val="60"/>
    <w:rsid w:val="00EB3F82"/>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rrafodelista">
    <w:name w:val="List Paragraph"/>
    <w:basedOn w:val="Normal"/>
    <w:uiPriority w:val="34"/>
    <w:qFormat/>
    <w:rsid w:val="00DB4549"/>
    <w:pPr>
      <w:ind w:left="720"/>
      <w:contextualSpacing/>
    </w:pPr>
  </w:style>
  <w:style w:type="character" w:styleId="Hipervnculo">
    <w:name w:val="Hyperlink"/>
    <w:basedOn w:val="Fuentedeprrafopredeter"/>
    <w:uiPriority w:val="99"/>
    <w:semiHidden/>
    <w:unhideWhenUsed/>
    <w:rsid w:val="002B1539"/>
    <w:rPr>
      <w:color w:val="0000FF"/>
      <w:u w:val="single"/>
    </w:rPr>
  </w:style>
  <w:style w:type="paragraph" w:styleId="Encabezado">
    <w:name w:val="header"/>
    <w:basedOn w:val="Normal"/>
    <w:link w:val="Encabezado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EncabezadoCar">
    <w:name w:val="Encabezado Car"/>
    <w:basedOn w:val="Fuentedeprrafopredeter"/>
    <w:link w:val="Encabezado"/>
    <w:uiPriority w:val="99"/>
    <w:rsid w:val="007F2637"/>
    <w:rPr>
      <w:rFonts w:ascii="Calibri" w:hAnsi="Calibri" w:cs="Times New Roman"/>
    </w:rPr>
  </w:style>
  <w:style w:type="paragraph" w:styleId="Piedepgina">
    <w:name w:val="footer"/>
    <w:basedOn w:val="Normal"/>
    <w:link w:val="PiedepginaCar"/>
    <w:uiPriority w:val="99"/>
    <w:unhideWhenUsed/>
    <w:rsid w:val="007F2637"/>
    <w:pPr>
      <w:tabs>
        <w:tab w:val="center" w:pos="4419"/>
        <w:tab w:val="right" w:pos="8838"/>
      </w:tabs>
      <w:spacing w:after="0" w:line="240" w:lineRule="auto"/>
    </w:pPr>
    <w:rPr>
      <w:rFonts w:ascii="Calibri" w:hAnsi="Calibri" w:cs="Times New Roman"/>
    </w:rPr>
  </w:style>
  <w:style w:type="character" w:customStyle="1" w:styleId="PiedepginaCar">
    <w:name w:val="Pie de página Car"/>
    <w:basedOn w:val="Fuentedeprrafopredeter"/>
    <w:link w:val="Piedepgina"/>
    <w:uiPriority w:val="99"/>
    <w:rsid w:val="007F2637"/>
    <w:rPr>
      <w:rFonts w:ascii="Calibri" w:hAnsi="Calibri" w:cs="Times New Roman"/>
    </w:rPr>
  </w:style>
  <w:style w:type="character" w:customStyle="1" w:styleId="Hipervnculo1">
    <w:name w:val="Hipervínculo1"/>
    <w:basedOn w:val="Fuentedeprrafopredeter"/>
    <w:uiPriority w:val="99"/>
    <w:unhideWhenUsed/>
    <w:rsid w:val="007F2637"/>
    <w:rPr>
      <w:color w:val="0000FF"/>
      <w:u w:val="single"/>
    </w:rPr>
  </w:style>
  <w:style w:type="paragraph" w:styleId="Textodeglobo">
    <w:name w:val="Balloon Text"/>
    <w:basedOn w:val="Normal"/>
    <w:link w:val="TextodegloboCar"/>
    <w:uiPriority w:val="99"/>
    <w:semiHidden/>
    <w:unhideWhenUsed/>
    <w:rsid w:val="007F26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F2637"/>
    <w:rPr>
      <w:rFonts w:ascii="Tahoma" w:hAnsi="Tahoma" w:cs="Tahoma"/>
      <w:sz w:val="16"/>
      <w:szCs w:val="16"/>
    </w:rPr>
  </w:style>
  <w:style w:type="paragraph" w:customStyle="1" w:styleId="Texto">
    <w:name w:val="Texto"/>
    <w:basedOn w:val="Normal"/>
    <w:link w:val="TextoCar"/>
    <w:rsid w:val="002606AE"/>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2606AE"/>
    <w:rPr>
      <w:rFonts w:ascii="Arial" w:eastAsia="Times New Roman" w:hAnsi="Arial" w:cs="Arial"/>
      <w:sz w:val="18"/>
      <w:szCs w:val="18"/>
      <w:lang w:val="es-ES" w:eastAsia="es-ES"/>
    </w:rPr>
  </w:style>
  <w:style w:type="table" w:styleId="Tablaconcuadrcula">
    <w:name w:val="Table Grid"/>
    <w:basedOn w:val="Tablanormal"/>
    <w:uiPriority w:val="39"/>
    <w:rsid w:val="00FA5B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FA5B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18256F"/>
    <w:pPr>
      <w:spacing w:after="0" w:line="240" w:lineRule="auto"/>
    </w:pPr>
  </w:style>
  <w:style w:type="paragraph" w:customStyle="1" w:styleId="Default">
    <w:name w:val="Default"/>
    <w:rsid w:val="0018256F"/>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559945">
      <w:bodyDiv w:val="1"/>
      <w:marLeft w:val="0"/>
      <w:marRight w:val="0"/>
      <w:marTop w:val="0"/>
      <w:marBottom w:val="0"/>
      <w:divBdr>
        <w:top w:val="none" w:sz="0" w:space="0" w:color="auto"/>
        <w:left w:val="none" w:sz="0" w:space="0" w:color="auto"/>
        <w:bottom w:val="none" w:sz="0" w:space="0" w:color="auto"/>
        <w:right w:val="none" w:sz="0" w:space="0" w:color="auto"/>
      </w:divBdr>
    </w:div>
    <w:div w:id="688798317">
      <w:bodyDiv w:val="1"/>
      <w:marLeft w:val="0"/>
      <w:marRight w:val="0"/>
      <w:marTop w:val="0"/>
      <w:marBottom w:val="0"/>
      <w:divBdr>
        <w:top w:val="none" w:sz="0" w:space="0" w:color="auto"/>
        <w:left w:val="none" w:sz="0" w:space="0" w:color="auto"/>
        <w:bottom w:val="none" w:sz="0" w:space="0" w:color="auto"/>
        <w:right w:val="none" w:sz="0" w:space="0" w:color="auto"/>
      </w:divBdr>
    </w:div>
    <w:div w:id="880947188">
      <w:bodyDiv w:val="1"/>
      <w:marLeft w:val="0"/>
      <w:marRight w:val="0"/>
      <w:marTop w:val="0"/>
      <w:marBottom w:val="0"/>
      <w:divBdr>
        <w:top w:val="none" w:sz="0" w:space="0" w:color="auto"/>
        <w:left w:val="none" w:sz="0" w:space="0" w:color="auto"/>
        <w:bottom w:val="none" w:sz="0" w:space="0" w:color="auto"/>
        <w:right w:val="none" w:sz="0" w:space="0" w:color="auto"/>
      </w:divBdr>
    </w:div>
    <w:div w:id="1361584963">
      <w:bodyDiv w:val="1"/>
      <w:marLeft w:val="0"/>
      <w:marRight w:val="0"/>
      <w:marTop w:val="0"/>
      <w:marBottom w:val="0"/>
      <w:divBdr>
        <w:top w:val="none" w:sz="0" w:space="0" w:color="auto"/>
        <w:left w:val="none" w:sz="0" w:space="0" w:color="auto"/>
        <w:bottom w:val="none" w:sz="0" w:space="0" w:color="auto"/>
        <w:right w:val="none" w:sz="0" w:space="0" w:color="auto"/>
      </w:divBdr>
      <w:divsChild>
        <w:div w:id="510992584">
          <w:marLeft w:val="0"/>
          <w:marRight w:val="0"/>
          <w:marTop w:val="0"/>
          <w:marBottom w:val="0"/>
          <w:divBdr>
            <w:top w:val="none" w:sz="0" w:space="0" w:color="auto"/>
            <w:left w:val="none" w:sz="0" w:space="0" w:color="auto"/>
            <w:bottom w:val="none" w:sz="0" w:space="0" w:color="auto"/>
            <w:right w:val="none" w:sz="0" w:space="0" w:color="auto"/>
          </w:divBdr>
        </w:div>
        <w:div w:id="596913579">
          <w:marLeft w:val="0"/>
          <w:marRight w:val="0"/>
          <w:marTop w:val="0"/>
          <w:marBottom w:val="0"/>
          <w:divBdr>
            <w:top w:val="none" w:sz="0" w:space="0" w:color="auto"/>
            <w:left w:val="none" w:sz="0" w:space="0" w:color="auto"/>
            <w:bottom w:val="none" w:sz="0" w:space="0" w:color="auto"/>
            <w:right w:val="none" w:sz="0" w:space="0" w:color="auto"/>
          </w:divBdr>
        </w:div>
        <w:div w:id="296374249">
          <w:marLeft w:val="0"/>
          <w:marRight w:val="0"/>
          <w:marTop w:val="0"/>
          <w:marBottom w:val="0"/>
          <w:divBdr>
            <w:top w:val="none" w:sz="0" w:space="0" w:color="auto"/>
            <w:left w:val="none" w:sz="0" w:space="0" w:color="auto"/>
            <w:bottom w:val="none" w:sz="0" w:space="0" w:color="auto"/>
            <w:right w:val="none" w:sz="0" w:space="0" w:color="auto"/>
          </w:divBdr>
        </w:div>
        <w:div w:id="1316297902">
          <w:marLeft w:val="0"/>
          <w:marRight w:val="0"/>
          <w:marTop w:val="0"/>
          <w:marBottom w:val="0"/>
          <w:divBdr>
            <w:top w:val="none" w:sz="0" w:space="0" w:color="auto"/>
            <w:left w:val="none" w:sz="0" w:space="0" w:color="auto"/>
            <w:bottom w:val="none" w:sz="0" w:space="0" w:color="auto"/>
            <w:right w:val="none" w:sz="0" w:space="0" w:color="auto"/>
          </w:divBdr>
        </w:div>
      </w:divsChild>
    </w:div>
    <w:div w:id="1408920929">
      <w:bodyDiv w:val="1"/>
      <w:marLeft w:val="0"/>
      <w:marRight w:val="0"/>
      <w:marTop w:val="0"/>
      <w:marBottom w:val="0"/>
      <w:divBdr>
        <w:top w:val="none" w:sz="0" w:space="0" w:color="auto"/>
        <w:left w:val="none" w:sz="0" w:space="0" w:color="auto"/>
        <w:bottom w:val="none" w:sz="0" w:space="0" w:color="auto"/>
        <w:right w:val="none" w:sz="0" w:space="0" w:color="auto"/>
      </w:divBdr>
    </w:div>
    <w:div w:id="1530528570">
      <w:bodyDiv w:val="1"/>
      <w:marLeft w:val="0"/>
      <w:marRight w:val="0"/>
      <w:marTop w:val="0"/>
      <w:marBottom w:val="0"/>
      <w:divBdr>
        <w:top w:val="none" w:sz="0" w:space="0" w:color="auto"/>
        <w:left w:val="none" w:sz="0" w:space="0" w:color="auto"/>
        <w:bottom w:val="none" w:sz="0" w:space="0" w:color="auto"/>
        <w:right w:val="none" w:sz="0" w:space="0" w:color="auto"/>
      </w:divBdr>
    </w:div>
    <w:div w:id="1858229819">
      <w:bodyDiv w:val="1"/>
      <w:marLeft w:val="0"/>
      <w:marRight w:val="0"/>
      <w:marTop w:val="0"/>
      <w:marBottom w:val="0"/>
      <w:divBdr>
        <w:top w:val="none" w:sz="0" w:space="0" w:color="auto"/>
        <w:left w:val="none" w:sz="0" w:space="0" w:color="auto"/>
        <w:bottom w:val="none" w:sz="0" w:space="0" w:color="auto"/>
        <w:right w:val="none" w:sz="0" w:space="0" w:color="auto"/>
      </w:divBdr>
    </w:div>
    <w:div w:id="1895653803">
      <w:bodyDiv w:val="1"/>
      <w:marLeft w:val="0"/>
      <w:marRight w:val="0"/>
      <w:marTop w:val="0"/>
      <w:marBottom w:val="0"/>
      <w:divBdr>
        <w:top w:val="none" w:sz="0" w:space="0" w:color="auto"/>
        <w:left w:val="none" w:sz="0" w:space="0" w:color="auto"/>
        <w:bottom w:val="none" w:sz="0" w:space="0" w:color="auto"/>
        <w:right w:val="none" w:sz="0" w:space="0" w:color="auto"/>
      </w:divBdr>
    </w:div>
    <w:div w:id="2134326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chart" Target="charts/chart7.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7.png"/><Relationship Id="rId25" Type="http://schemas.openxmlformats.org/officeDocument/2006/relationships/chart" Target="charts/chart6.xml"/><Relationship Id="rId33" Type="http://schemas.openxmlformats.org/officeDocument/2006/relationships/image" Target="media/image1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3.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chart" Target="charts/chart9.xml"/><Relationship Id="rId36" Type="http://schemas.openxmlformats.org/officeDocument/2006/relationships/header" Target="header1.xml"/><Relationship Id="rId10" Type="http://schemas.openxmlformats.org/officeDocument/2006/relationships/chart" Target="charts/chart2.xml"/><Relationship Id="rId19" Type="http://schemas.openxmlformats.org/officeDocument/2006/relationships/image" Target="media/image9.png"/><Relationship Id="rId31"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5.xml"/><Relationship Id="rId27" Type="http://schemas.openxmlformats.org/officeDocument/2006/relationships/chart" Target="charts/chart8.xml"/><Relationship Id="rId30" Type="http://schemas.openxmlformats.org/officeDocument/2006/relationships/chart" Target="charts/chart11.xml"/><Relationship Id="rId35" Type="http://schemas.openxmlformats.org/officeDocument/2006/relationships/chart" Target="charts/chart13.xml"/></Relationships>
</file>

<file path=word/charts/_rels/chart1.xml.rels><?xml version="1.0" encoding="UTF-8" standalone="yes"?>
<Relationships xmlns="http://schemas.openxmlformats.org/package/2006/relationships"><Relationship Id="rId1" Type="http://schemas.openxmlformats.org/officeDocument/2006/relationships/oleObject" Target="file:///D:\Users\ad014629\Downloads\pob_mit_proyecciones%20(2).csv"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ad014629\Documents\envejecimiento_CDM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ad014629\Documents\morbilidad_201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Users\ad014629\Downloads\DP_LIVE_15032019000600520.csv"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3.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7B88-4BD1-80D2-9AE3C5C27FFE}"/>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7B88-4BD1-80D2-9AE3C5C27FFE}"/>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7B88-4BD1-80D2-9AE3C5C27FFE}"/>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7B88-4BD1-80D2-9AE3C5C27FFE}"/>
            </c:ext>
          </c:extLst>
        </c:ser>
        <c:dLbls>
          <c:showLegendKey val="0"/>
          <c:showVal val="0"/>
          <c:showCatName val="0"/>
          <c:showSerName val="0"/>
          <c:showPercent val="0"/>
          <c:showBubbleSize val="0"/>
        </c:dLbls>
        <c:gapWidth val="0"/>
        <c:overlap val="100"/>
        <c:axId val="206140160"/>
        <c:axId val="206141696"/>
      </c:barChart>
      <c:catAx>
        <c:axId val="20614016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06141696"/>
        <c:crosses val="autoZero"/>
        <c:auto val="1"/>
        <c:lblAlgn val="ctr"/>
        <c:lblOffset val="100"/>
        <c:noMultiLvlLbl val="0"/>
      </c:catAx>
      <c:valAx>
        <c:axId val="206141696"/>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0614016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BE6C-4B9F-A772-9FCD227C225F}"/>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BE6C-4B9F-A772-9FCD227C225F}"/>
            </c:ext>
          </c:extLst>
        </c:ser>
        <c:dLbls>
          <c:showLegendKey val="0"/>
          <c:showVal val="0"/>
          <c:showCatName val="0"/>
          <c:showSerName val="0"/>
          <c:showPercent val="0"/>
          <c:showBubbleSize val="0"/>
        </c:dLbls>
        <c:gapWidth val="0"/>
        <c:overlap val="100"/>
        <c:axId val="214960000"/>
        <c:axId val="214961536"/>
      </c:barChart>
      <c:catAx>
        <c:axId val="21496000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14961536"/>
        <c:crosses val="autoZero"/>
        <c:auto val="1"/>
        <c:lblAlgn val="ctr"/>
        <c:lblOffset val="100"/>
        <c:noMultiLvlLbl val="0"/>
      </c:catAx>
      <c:valAx>
        <c:axId val="214961536"/>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1496000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4707-48EA-933E-88585AAF2D78}"/>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4707-48EA-933E-88585AAF2D78}"/>
            </c:ext>
          </c:extLst>
        </c:ser>
        <c:dLbls>
          <c:showLegendKey val="0"/>
          <c:showVal val="0"/>
          <c:showCatName val="0"/>
          <c:showSerName val="0"/>
          <c:showPercent val="0"/>
          <c:showBubbleSize val="0"/>
        </c:dLbls>
        <c:gapWidth val="0"/>
        <c:overlap val="100"/>
        <c:axId val="215297024"/>
        <c:axId val="215307008"/>
      </c:barChart>
      <c:catAx>
        <c:axId val="21529702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15307008"/>
        <c:crosses val="autoZero"/>
        <c:auto val="1"/>
        <c:lblAlgn val="ctr"/>
        <c:lblOffset val="100"/>
        <c:noMultiLvlLbl val="0"/>
      </c:catAx>
      <c:valAx>
        <c:axId val="21530700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1529702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FD82-413B-A9F0-6C47EB054156}"/>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FD82-413B-A9F0-6C47EB054156}"/>
            </c:ext>
          </c:extLst>
        </c:ser>
        <c:dLbls>
          <c:showLegendKey val="0"/>
          <c:showVal val="0"/>
          <c:showCatName val="0"/>
          <c:showSerName val="0"/>
          <c:showPercent val="0"/>
          <c:showBubbleSize val="0"/>
        </c:dLbls>
        <c:smooth val="0"/>
        <c:axId val="215360256"/>
        <c:axId val="215362176"/>
      </c:lineChart>
      <c:catAx>
        <c:axId val="21536025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215362176"/>
        <c:crosses val="autoZero"/>
        <c:auto val="1"/>
        <c:lblAlgn val="ctr"/>
        <c:lblOffset val="100"/>
        <c:noMultiLvlLbl val="0"/>
      </c:catAx>
      <c:valAx>
        <c:axId val="215362176"/>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215360256"/>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D7B7-47F2-A191-C33AE4A6CDB3}"/>
              </c:ext>
            </c:extLst>
          </c:dPt>
          <c:dPt>
            <c:idx val="25"/>
            <c:invertIfNegative val="0"/>
            <c:bubble3D val="0"/>
            <c:spPr>
              <a:solidFill>
                <a:srgbClr val="00B050"/>
              </a:solidFill>
              <a:ln>
                <a:noFill/>
              </a:ln>
              <a:effectLst/>
            </c:spPr>
            <c:extLst>
              <c:ext xmlns:c16="http://schemas.microsoft.com/office/drawing/2014/chart" uri="{C3380CC4-5D6E-409C-BE32-E72D297353CC}">
                <c16:uniqueId val="{00000003-D7B7-47F2-A191-C33AE4A6CDB3}"/>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7B7-47F2-A191-C33AE4A6CDB3}"/>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B7-47F2-A191-C33AE4A6CDB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D7B7-47F2-A191-C33AE4A6CDB3}"/>
            </c:ext>
          </c:extLst>
        </c:ser>
        <c:dLbls>
          <c:showLegendKey val="0"/>
          <c:showVal val="0"/>
          <c:showCatName val="0"/>
          <c:showSerName val="0"/>
          <c:showPercent val="0"/>
          <c:showBubbleSize val="0"/>
        </c:dLbls>
        <c:gapWidth val="90"/>
        <c:overlap val="50"/>
        <c:axId val="215401216"/>
        <c:axId val="215402752"/>
      </c:barChart>
      <c:catAx>
        <c:axId val="21540121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215402752"/>
        <c:crosses val="autoZero"/>
        <c:auto val="1"/>
        <c:lblAlgn val="ctr"/>
        <c:lblOffset val="100"/>
        <c:noMultiLvlLbl val="0"/>
      </c:catAx>
      <c:valAx>
        <c:axId val="215402752"/>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21540121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4DA4-4B6A-81C2-D34A6EC7522D}"/>
              </c:ext>
            </c:extLst>
          </c:dPt>
          <c:dPt>
            <c:idx val="17"/>
            <c:invertIfNegative val="0"/>
            <c:bubble3D val="0"/>
            <c:spPr>
              <a:solidFill>
                <a:srgbClr val="00B050"/>
              </a:solidFill>
              <a:ln>
                <a:noFill/>
              </a:ln>
              <a:effectLst/>
            </c:spPr>
            <c:extLst>
              <c:ext xmlns:c16="http://schemas.microsoft.com/office/drawing/2014/chart" uri="{C3380CC4-5D6E-409C-BE32-E72D297353CC}">
                <c16:uniqueId val="{00000003-4DA4-4B6A-81C2-D34A6EC7522D}"/>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DA4-4B6A-81C2-D34A6EC7522D}"/>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DA4-4B6A-81C2-D34A6EC7522D}"/>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4DA4-4B6A-81C2-D34A6EC7522D}"/>
            </c:ext>
          </c:extLst>
        </c:ser>
        <c:dLbls>
          <c:showLegendKey val="0"/>
          <c:showVal val="0"/>
          <c:showCatName val="0"/>
          <c:showSerName val="0"/>
          <c:showPercent val="0"/>
          <c:showBubbleSize val="0"/>
        </c:dLbls>
        <c:gapWidth val="60"/>
        <c:overlap val="100"/>
        <c:axId val="215452672"/>
        <c:axId val="215458560"/>
      </c:barChart>
      <c:catAx>
        <c:axId val="215452672"/>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215458560"/>
        <c:crosses val="autoZero"/>
        <c:auto val="1"/>
        <c:lblAlgn val="ctr"/>
        <c:lblOffset val="100"/>
        <c:noMultiLvlLbl val="0"/>
      </c:catAx>
      <c:valAx>
        <c:axId val="215458560"/>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15452672"/>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7F67-46F1-948E-6BFBBEDDE686}"/>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7F67-46F1-948E-6BFBBEDDE686}"/>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7F67-46F1-948E-6BFBBEDDE686}"/>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7F67-46F1-948E-6BFBBEDDE686}"/>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7F67-46F1-948E-6BFBBEDDE686}"/>
            </c:ext>
          </c:extLst>
        </c:ser>
        <c:dLbls>
          <c:showLegendKey val="0"/>
          <c:showVal val="0"/>
          <c:showCatName val="0"/>
          <c:showSerName val="0"/>
          <c:showPercent val="0"/>
          <c:showBubbleSize val="0"/>
        </c:dLbls>
        <c:marker val="1"/>
        <c:smooth val="0"/>
        <c:axId val="218893696"/>
        <c:axId val="218928256"/>
      </c:lineChart>
      <c:catAx>
        <c:axId val="21889369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18928256"/>
        <c:crosses val="autoZero"/>
        <c:auto val="1"/>
        <c:lblAlgn val="ctr"/>
        <c:lblOffset val="100"/>
        <c:noMultiLvlLbl val="0"/>
      </c:catAx>
      <c:valAx>
        <c:axId val="218928256"/>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1889369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Lugares ofertados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Hoja4!$A$6:$A$12</c:f>
              <c:numCache>
                <c:formatCode>General</c:formatCode>
                <c:ptCount val="7"/>
                <c:pt idx="0">
                  <c:v>2012</c:v>
                </c:pt>
                <c:pt idx="1">
                  <c:v>2013</c:v>
                </c:pt>
                <c:pt idx="2">
                  <c:v>2014</c:v>
                </c:pt>
                <c:pt idx="3">
                  <c:v>2015</c:v>
                </c:pt>
                <c:pt idx="4">
                  <c:v>2016</c:v>
                </c:pt>
                <c:pt idx="5">
                  <c:v>2017</c:v>
                </c:pt>
                <c:pt idx="6">
                  <c:v>2018</c:v>
                </c:pt>
              </c:numCache>
            </c:numRef>
          </c:cat>
          <c:val>
            <c:numRef>
              <c:f>Hoja4!$B$6:$B$12</c:f>
              <c:numCache>
                <c:formatCode>_-* #,##0_-;\-* #,##0_-;_-* "-"??_-;_-@_-</c:formatCode>
                <c:ptCount val="7"/>
                <c:pt idx="0">
                  <c:v>2267</c:v>
                </c:pt>
                <c:pt idx="1">
                  <c:v>2277</c:v>
                </c:pt>
                <c:pt idx="2">
                  <c:v>2327</c:v>
                </c:pt>
                <c:pt idx="3">
                  <c:v>2547</c:v>
                </c:pt>
                <c:pt idx="4">
                  <c:v>2656</c:v>
                </c:pt>
                <c:pt idx="5">
                  <c:v>2922</c:v>
                </c:pt>
                <c:pt idx="6">
                  <c:v>2938</c:v>
                </c:pt>
              </c:numCache>
            </c:numRef>
          </c:val>
          <c:smooth val="0"/>
          <c:extLst>
            <c:ext xmlns:c16="http://schemas.microsoft.com/office/drawing/2014/chart" uri="{C3380CC4-5D6E-409C-BE32-E72D297353CC}">
              <c16:uniqueId val="{00000000-E802-40AB-9FEE-11ABE15C4E2C}"/>
            </c:ext>
          </c:extLst>
        </c:ser>
        <c:ser>
          <c:idx val="1"/>
          <c:order val="1"/>
          <c:tx>
            <c:v>Tendencia</c:v>
          </c:tx>
          <c:spPr>
            <a:ln w="38100" cap="rnd">
              <a:solidFill>
                <a:srgbClr val="C00000"/>
              </a:solidFill>
              <a:round/>
            </a:ln>
            <a:effectLst/>
          </c:spPr>
          <c:marker>
            <c:symbol val="none"/>
          </c:marker>
          <c:cat>
            <c:numRef>
              <c:f>Hoja4!$A$6:$A$12</c:f>
              <c:numCache>
                <c:formatCode>General</c:formatCode>
                <c:ptCount val="7"/>
                <c:pt idx="0">
                  <c:v>2012</c:v>
                </c:pt>
                <c:pt idx="1">
                  <c:v>2013</c:v>
                </c:pt>
                <c:pt idx="2">
                  <c:v>2014</c:v>
                </c:pt>
                <c:pt idx="3">
                  <c:v>2015</c:v>
                </c:pt>
                <c:pt idx="4">
                  <c:v>2016</c:v>
                </c:pt>
                <c:pt idx="5">
                  <c:v>2017</c:v>
                </c:pt>
                <c:pt idx="6">
                  <c:v>2018</c:v>
                </c:pt>
              </c:numCache>
            </c:numRef>
          </c:cat>
          <c:val>
            <c:numRef>
              <c:f>Hoja4!$C$6:$C$12</c:f>
              <c:numCache>
                <c:formatCode>_-* #,##0_-;\-* #,##0_-;_-* "-"??_-;_-@_-</c:formatCode>
                <c:ptCount val="7"/>
                <c:pt idx="0">
                  <c:v>2200.4141155433599</c:v>
                </c:pt>
                <c:pt idx="1">
                  <c:v>2300.59601756451</c:v>
                </c:pt>
                <c:pt idx="2">
                  <c:v>2411.8755669950901</c:v>
                </c:pt>
                <c:pt idx="3">
                  <c:v>2541.4177416504699</c:v>
                </c:pt>
                <c:pt idx="4">
                  <c:v>2682.2415915134802</c:v>
                </c:pt>
                <c:pt idx="5">
                  <c:v>2828.2965429585502</c:v>
                </c:pt>
                <c:pt idx="6">
                  <c:v>2969.1584237745401</c:v>
                </c:pt>
              </c:numCache>
            </c:numRef>
          </c:val>
          <c:smooth val="0"/>
          <c:extLst>
            <c:ext xmlns:c16="http://schemas.microsoft.com/office/drawing/2014/chart" uri="{C3380CC4-5D6E-409C-BE32-E72D297353CC}">
              <c16:uniqueId val="{00000001-E802-40AB-9FEE-11ABE15C4E2C}"/>
            </c:ext>
          </c:extLst>
        </c:ser>
        <c:dLbls>
          <c:showLegendKey val="0"/>
          <c:showVal val="0"/>
          <c:showCatName val="0"/>
          <c:showSerName val="0"/>
          <c:showPercent val="0"/>
          <c:showBubbleSize val="0"/>
        </c:dLbls>
        <c:marker val="1"/>
        <c:smooth val="0"/>
        <c:axId val="222406144"/>
        <c:axId val="222407680"/>
      </c:lineChart>
      <c:catAx>
        <c:axId val="22240614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22407680"/>
        <c:crosses val="autoZero"/>
        <c:auto val="1"/>
        <c:lblAlgn val="ctr"/>
        <c:lblOffset val="100"/>
        <c:noMultiLvlLbl val="0"/>
      </c:catAx>
      <c:valAx>
        <c:axId val="222407680"/>
        <c:scaling>
          <c:orientation val="minMax"/>
          <c:min val="2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22406144"/>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Primer Ingreso</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numRef>
              <c:f>Hoja1!$A$190:$A$196</c:f>
              <c:numCache>
                <c:formatCode>General</c:formatCode>
                <c:ptCount val="7"/>
                <c:pt idx="0">
                  <c:v>2012</c:v>
                </c:pt>
                <c:pt idx="1">
                  <c:v>2013</c:v>
                </c:pt>
                <c:pt idx="2">
                  <c:v>2014</c:v>
                </c:pt>
                <c:pt idx="3">
                  <c:v>2015</c:v>
                </c:pt>
                <c:pt idx="4">
                  <c:v>2016</c:v>
                </c:pt>
                <c:pt idx="5">
                  <c:v>2017</c:v>
                </c:pt>
                <c:pt idx="6">
                  <c:v>2018</c:v>
                </c:pt>
              </c:numCache>
            </c:numRef>
          </c:cat>
          <c:val>
            <c:numRef>
              <c:f>Hoja1!$B$190:$B$196</c:f>
              <c:numCache>
                <c:formatCode>General</c:formatCode>
                <c:ptCount val="7"/>
                <c:pt idx="0">
                  <c:v>3</c:v>
                </c:pt>
                <c:pt idx="1">
                  <c:v>8</c:v>
                </c:pt>
                <c:pt idx="2">
                  <c:v>5</c:v>
                </c:pt>
                <c:pt idx="3">
                  <c:v>7</c:v>
                </c:pt>
                <c:pt idx="4">
                  <c:v>5</c:v>
                </c:pt>
                <c:pt idx="5">
                  <c:v>6</c:v>
                </c:pt>
                <c:pt idx="6">
                  <c:v>4</c:v>
                </c:pt>
              </c:numCache>
            </c:numRef>
          </c:val>
          <c:smooth val="0"/>
          <c:extLst>
            <c:ext xmlns:c16="http://schemas.microsoft.com/office/drawing/2014/chart" uri="{C3380CC4-5D6E-409C-BE32-E72D297353CC}">
              <c16:uniqueId val="{00000000-785B-4ED4-82DC-F0523F31D060}"/>
            </c:ext>
          </c:extLst>
        </c:ser>
        <c:ser>
          <c:idx val="1"/>
          <c:order val="1"/>
          <c:tx>
            <c:v>Tendencia</c:v>
          </c:tx>
          <c:spPr>
            <a:ln w="38100" cap="rnd">
              <a:solidFill>
                <a:srgbClr val="C00000"/>
              </a:solidFill>
              <a:round/>
            </a:ln>
            <a:effectLst/>
          </c:spPr>
          <c:marker>
            <c:symbol val="none"/>
          </c:marker>
          <c:cat>
            <c:numRef>
              <c:f>Hoja1!$A$190:$A$196</c:f>
              <c:numCache>
                <c:formatCode>General</c:formatCode>
                <c:ptCount val="7"/>
                <c:pt idx="0">
                  <c:v>2012</c:v>
                </c:pt>
                <c:pt idx="1">
                  <c:v>2013</c:v>
                </c:pt>
                <c:pt idx="2">
                  <c:v>2014</c:v>
                </c:pt>
                <c:pt idx="3">
                  <c:v>2015</c:v>
                </c:pt>
                <c:pt idx="4">
                  <c:v>2016</c:v>
                </c:pt>
                <c:pt idx="5">
                  <c:v>2017</c:v>
                </c:pt>
                <c:pt idx="6">
                  <c:v>2018</c:v>
                </c:pt>
              </c:numCache>
            </c:numRef>
          </c:cat>
          <c:val>
            <c:numRef>
              <c:f>Hoja1!$C$190:$C$196</c:f>
              <c:numCache>
                <c:formatCode>General</c:formatCode>
                <c:ptCount val="7"/>
                <c:pt idx="0">
                  <c:v>4.9261935407201296</c:v>
                </c:pt>
                <c:pt idx="1">
                  <c:v>5.5428548792757297</c:v>
                </c:pt>
                <c:pt idx="2">
                  <c:v>5.8384839610446502</c:v>
                </c:pt>
                <c:pt idx="3">
                  <c:v>5.9015727160275704</c:v>
                </c:pt>
                <c:pt idx="4">
                  <c:v>5.6808657473844004</c:v>
                </c:pt>
                <c:pt idx="5">
                  <c:v>5.3081788722704797</c:v>
                </c:pt>
                <c:pt idx="6">
                  <c:v>4.8018502832770498</c:v>
                </c:pt>
              </c:numCache>
            </c:numRef>
          </c:val>
          <c:smooth val="0"/>
          <c:extLst>
            <c:ext xmlns:c16="http://schemas.microsoft.com/office/drawing/2014/chart" uri="{C3380CC4-5D6E-409C-BE32-E72D297353CC}">
              <c16:uniqueId val="{00000001-785B-4ED4-82DC-F0523F31D060}"/>
            </c:ext>
          </c:extLst>
        </c:ser>
        <c:dLbls>
          <c:showLegendKey val="0"/>
          <c:showVal val="0"/>
          <c:showCatName val="0"/>
          <c:showSerName val="0"/>
          <c:showPercent val="0"/>
          <c:showBubbleSize val="0"/>
        </c:dLbls>
        <c:marker val="1"/>
        <c:smooth val="0"/>
        <c:axId val="222556160"/>
        <c:axId val="222557696"/>
      </c:lineChart>
      <c:catAx>
        <c:axId val="222556160"/>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222557696"/>
        <c:crosses val="autoZero"/>
        <c:auto val="1"/>
        <c:lblAlgn val="ctr"/>
        <c:lblOffset val="100"/>
        <c:noMultiLvlLbl val="0"/>
      </c:catAx>
      <c:valAx>
        <c:axId val="222557696"/>
        <c:scaling>
          <c:orientation val="minMax"/>
          <c:max val="10"/>
          <c:min val="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Matrícula de Primer Ingreso</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222556160"/>
        <c:crosses val="autoZero"/>
        <c:crossBetween val="between"/>
        <c:majorUnit val="2"/>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3E95-4A5D-96B5-AFFDF703D422}"/>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3E95-4A5D-96B5-AFFDF703D422}"/>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3E95-4A5D-96B5-AFFDF703D422}"/>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3E95-4A5D-96B5-AFFDF703D422}"/>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E95-4A5D-96B5-AFFDF703D422}"/>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E95-4A5D-96B5-AFFDF703D422}"/>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E95-4A5D-96B5-AFFDF703D422}"/>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3E95-4A5D-96B5-AFFDF703D422}"/>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6BDF-4E3E-99D0-517F355E3BCF}"/>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6BDF-4E3E-99D0-517F355E3BCF}"/>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6BDF-4E3E-99D0-517F355E3BCF}"/>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6BDF-4E3E-99D0-517F355E3BCF}"/>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6F48-468A-969B-F1D2EDF1174C}"/>
            </c:ext>
          </c:extLst>
        </c:ser>
        <c:dLbls>
          <c:showLegendKey val="0"/>
          <c:showVal val="0"/>
          <c:showCatName val="0"/>
          <c:showSerName val="0"/>
          <c:showPercent val="0"/>
          <c:showBubbleSize val="0"/>
        </c:dLbls>
        <c:gapWidth val="267"/>
        <c:overlap val="-43"/>
        <c:axId val="116856320"/>
        <c:axId val="116857856"/>
      </c:barChart>
      <c:catAx>
        <c:axId val="11685632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16857856"/>
        <c:crosses val="autoZero"/>
        <c:auto val="1"/>
        <c:lblAlgn val="ctr"/>
        <c:lblOffset val="100"/>
        <c:noMultiLvlLbl val="0"/>
      </c:catAx>
      <c:valAx>
        <c:axId val="116857856"/>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16856320"/>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'Medicina del Enfermo...'!$A$76</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del Enfermo...'!$B$75:$H$75</c:f>
              <c:numCache>
                <c:formatCode>General</c:formatCode>
                <c:ptCount val="7"/>
                <c:pt idx="0">
                  <c:v>2012</c:v>
                </c:pt>
                <c:pt idx="1">
                  <c:v>2013</c:v>
                </c:pt>
                <c:pt idx="2">
                  <c:v>2014</c:v>
                </c:pt>
                <c:pt idx="3">
                  <c:v>2015</c:v>
                </c:pt>
                <c:pt idx="4">
                  <c:v>2016</c:v>
                </c:pt>
                <c:pt idx="5">
                  <c:v>2017</c:v>
                </c:pt>
                <c:pt idx="6">
                  <c:v>2018</c:v>
                </c:pt>
              </c:numCache>
            </c:numRef>
          </c:cat>
          <c:val>
            <c:numRef>
              <c:f>'Medicina del Enfermo...'!$B$76:$H$76</c:f>
              <c:numCache>
                <c:formatCode>General</c:formatCode>
                <c:ptCount val="7"/>
                <c:pt idx="0">
                  <c:v>2</c:v>
                </c:pt>
                <c:pt idx="1">
                  <c:v>3</c:v>
                </c:pt>
                <c:pt idx="2">
                  <c:v>6</c:v>
                </c:pt>
                <c:pt idx="3">
                  <c:v>5</c:v>
                </c:pt>
                <c:pt idx="4">
                  <c:v>3</c:v>
                </c:pt>
                <c:pt idx="5">
                  <c:v>6</c:v>
                </c:pt>
                <c:pt idx="6">
                  <c:v>5</c:v>
                </c:pt>
              </c:numCache>
            </c:numRef>
          </c:val>
          <c:extLst>
            <c:ext xmlns:c16="http://schemas.microsoft.com/office/drawing/2014/chart" uri="{C3380CC4-5D6E-409C-BE32-E72D297353CC}">
              <c16:uniqueId val="{00000000-52D2-4B0A-B834-49BFAF581236}"/>
            </c:ext>
          </c:extLst>
        </c:ser>
        <c:ser>
          <c:idx val="1"/>
          <c:order val="1"/>
          <c:tx>
            <c:strRef>
              <c:f>'Medicina del Enfermo...'!$A$77</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del Enfermo...'!$B$75:$H$75</c:f>
              <c:numCache>
                <c:formatCode>General</c:formatCode>
                <c:ptCount val="7"/>
                <c:pt idx="0">
                  <c:v>2012</c:v>
                </c:pt>
                <c:pt idx="1">
                  <c:v>2013</c:v>
                </c:pt>
                <c:pt idx="2">
                  <c:v>2014</c:v>
                </c:pt>
                <c:pt idx="3">
                  <c:v>2015</c:v>
                </c:pt>
                <c:pt idx="4">
                  <c:v>2016</c:v>
                </c:pt>
                <c:pt idx="5">
                  <c:v>2017</c:v>
                </c:pt>
                <c:pt idx="6">
                  <c:v>2018</c:v>
                </c:pt>
              </c:numCache>
            </c:numRef>
          </c:cat>
          <c:val>
            <c:numRef>
              <c:f>'Medicina del Enfermo...'!$B$77:$H$77</c:f>
              <c:numCache>
                <c:formatCode>General</c:formatCode>
                <c:ptCount val="7"/>
                <c:pt idx="0">
                  <c:v>4</c:v>
                </c:pt>
                <c:pt idx="1">
                  <c:v>5</c:v>
                </c:pt>
                <c:pt idx="2">
                  <c:v>9</c:v>
                </c:pt>
                <c:pt idx="3">
                  <c:v>10</c:v>
                </c:pt>
                <c:pt idx="4">
                  <c:v>9</c:v>
                </c:pt>
                <c:pt idx="5">
                  <c:v>11</c:v>
                </c:pt>
                <c:pt idx="6">
                  <c:v>12</c:v>
                </c:pt>
              </c:numCache>
            </c:numRef>
          </c:val>
          <c:extLst>
            <c:ext xmlns:c16="http://schemas.microsoft.com/office/drawing/2014/chart" uri="{C3380CC4-5D6E-409C-BE32-E72D297353CC}">
              <c16:uniqueId val="{00000001-52D2-4B0A-B834-49BFAF581236}"/>
            </c:ext>
          </c:extLst>
        </c:ser>
        <c:ser>
          <c:idx val="2"/>
          <c:order val="2"/>
          <c:tx>
            <c:strRef>
              <c:f>'Medicina del Enfermo...'!$A$78</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'Medicina del Enfermo...'!$B$75:$H$75</c:f>
              <c:numCache>
                <c:formatCode>General</c:formatCode>
                <c:ptCount val="7"/>
                <c:pt idx="0">
                  <c:v>2012</c:v>
                </c:pt>
                <c:pt idx="1">
                  <c:v>2013</c:v>
                </c:pt>
                <c:pt idx="2">
                  <c:v>2014</c:v>
                </c:pt>
                <c:pt idx="3">
                  <c:v>2015</c:v>
                </c:pt>
                <c:pt idx="4">
                  <c:v>2016</c:v>
                </c:pt>
                <c:pt idx="5">
                  <c:v>2017</c:v>
                </c:pt>
                <c:pt idx="6">
                  <c:v>2018</c:v>
                </c:pt>
              </c:numCache>
            </c:numRef>
          </c:cat>
          <c:val>
            <c:numRef>
              <c:f>'Medicina del Enfermo...'!$B$78:$H$78</c:f>
              <c:numCache>
                <c:formatCode>General</c:formatCode>
                <c:ptCount val="7"/>
                <c:pt idx="0">
                  <c:v>3</c:v>
                </c:pt>
                <c:pt idx="1">
                  <c:v>0</c:v>
                </c:pt>
                <c:pt idx="2">
                  <c:v>2</c:v>
                </c:pt>
                <c:pt idx="3">
                  <c:v>3</c:v>
                </c:pt>
                <c:pt idx="4">
                  <c:v>5</c:v>
                </c:pt>
                <c:pt idx="5">
                  <c:v>5</c:v>
                </c:pt>
                <c:pt idx="6">
                  <c:v>3</c:v>
                </c:pt>
              </c:numCache>
            </c:numRef>
          </c:val>
          <c:extLst>
            <c:ext xmlns:c16="http://schemas.microsoft.com/office/drawing/2014/chart" uri="{C3380CC4-5D6E-409C-BE32-E72D297353CC}">
              <c16:uniqueId val="{00000002-52D2-4B0A-B834-49BFAF581236}"/>
            </c:ext>
          </c:extLst>
        </c:ser>
        <c:dLbls>
          <c:showLegendKey val="0"/>
          <c:showVal val="0"/>
          <c:showCatName val="0"/>
          <c:showSerName val="0"/>
          <c:showPercent val="0"/>
          <c:showBubbleSize val="0"/>
        </c:dLbls>
        <c:gapWidth val="219"/>
        <c:overlap val="-27"/>
        <c:axId val="300547896"/>
        <c:axId val="300548552"/>
      </c:barChart>
      <c:catAx>
        <c:axId val="300547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00548552"/>
        <c:crosses val="autoZero"/>
        <c:auto val="1"/>
        <c:lblAlgn val="ctr"/>
        <c:lblOffset val="100"/>
        <c:noMultiLvlLbl val="0"/>
      </c:catAx>
      <c:valAx>
        <c:axId val="300548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300547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15BB88-D089-4A31-8870-5B34E35C1A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69</Pages>
  <Words>18344</Words>
  <Characters>100897</Characters>
  <Application>Microsoft Office Word</Application>
  <DocSecurity>0</DocSecurity>
  <Lines>840</Lines>
  <Paragraphs>238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119003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Aram Isai Ramos</dc:creator>
  <cp:lastModifiedBy>Edgar Cervantes</cp:lastModifiedBy>
  <cp:revision>50</cp:revision>
  <cp:lastPrinted>2019-07-12T23:23:00Z</cp:lastPrinted>
  <dcterms:created xsi:type="dcterms:W3CDTF">2019-03-20T00:04:00Z</dcterms:created>
  <dcterms:modified xsi:type="dcterms:W3CDTF">2019-07-30T21:49:00Z</dcterms:modified>
</cp:coreProperties>
</file>